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/>
          <w:sz w:val="28"/>
          <w:szCs w:val="24"/>
        </w:rPr>
      </w:pPr>
      <w:r>
        <w:rPr>
          <w:rFonts w:cstheme="minorHAnsi"/>
          <w:b/>
          <w:bCs/>
          <w:caps/>
          <w:color w:val="000000"/>
          <w:sz w:val="28"/>
          <w:szCs w:val="24"/>
        </w:rPr>
        <w:t>2.14   Two-Way Communications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Purpose: </w:t>
      </w:r>
      <w:r>
        <w:rPr>
          <w:rFonts w:cstheme="minorHAnsi"/>
          <w:bCs/>
          <w:color w:val="000000"/>
          <w:sz w:val="24"/>
          <w:szCs w:val="24"/>
        </w:rPr>
        <w:t>To provide guidelines for two-way communication systems.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color w:val="000000"/>
          <w:sz w:val="24"/>
          <w:szCs w:val="24"/>
        </w:rPr>
        <w:t xml:space="preserve">The Company will ensure each non-emergency medical transportation vehicle shall have at least one form of two-way communications.  The company non-emergency medical transportation shall not be equipped with a JEMS radio.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following radio frequencies shall not be utilized in two-way communications to, or from, an MAV: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Any of the UHF radio frequencies known as "Med 1" through "Med 10" and "MED A" through "MED X";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2. Any of the VHF radio frequencies listed in Appendix A of the N.J.A.C 8:40-3.6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3. Any of the following radio frequencies: 155.280 MHz, 155.340 MHz, 153.785 </w:t>
      </w:r>
      <w:proofErr w:type="spellStart"/>
      <w:r>
        <w:rPr>
          <w:rFonts w:cstheme="minorHAnsi"/>
          <w:color w:val="000000"/>
          <w:sz w:val="24"/>
          <w:szCs w:val="24"/>
        </w:rPr>
        <w:t>MHz.</w:t>
      </w:r>
      <w:proofErr w:type="spellEnd"/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All two-way communications shall comply with all applicable Federal Communications Commission (FCC) rules and regulations. The Department shall be provided with a copy of any FCC license(s) issued to the provider.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company shall not engage in any communications activity that causes harmful interference with the EMS communications system. For the purpose of this section, harmful interference is defined as: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 complaint found by state licensing agency to be valid of radio interference from a service provider operating in accordance with the JEMS Communications Plan; and/or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A finding by the state licensing agency or the FCC that the provider's communications are causing harmful interference.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1457978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7</cp:revision>
  <dcterms:created xsi:type="dcterms:W3CDTF">2014-03-20T00:31:00Z</dcterms:created>
  <dcterms:modified xsi:type="dcterms:W3CDTF">2017-07-26T20:11:00Z</dcterms:modified>
</cp:coreProperties>
</file>