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2.13   Vehicle Markings and Emergency Warning Devices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delineate guidelines for vehicle markings and emergency warning devices.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bCs/>
          <w:color w:val="000000"/>
          <w:sz w:val="24"/>
          <w:szCs w:val="24"/>
        </w:rPr>
        <w:t xml:space="preserve">The company shall ensure </w:t>
      </w:r>
      <w:r>
        <w:rPr>
          <w:rFonts w:cstheme="minorHAnsi"/>
          <w:color w:val="000000"/>
          <w:sz w:val="24"/>
          <w:szCs w:val="24"/>
        </w:rPr>
        <w:t xml:space="preserve">each company non-emergency medical transportation vehicle bear the following markings: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The trade name (as it appears on the vehicle license) shall be visible on the two exterior sides of the vehicle in a size not less than four inches high;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The vehicle recognition number shall be visible on the rear and the two exterior sides of the vehicle in a size not less than three inches high;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The International Symbol of Access for the Handicapped (that is, the outline form of a person in a wheelchair) shall be visible on the rear and the two sides of the vehicle in a size not less than eight inches high.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required markings shall appear in colors and shades that contrast with the background on which they appear so that they are clearly visible.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To avoid the appearance of a Basic Life Support (BLS) ambulance,</w:t>
      </w:r>
      <w:r>
        <w:t xml:space="preserve"> </w:t>
      </w:r>
      <w:r>
        <w:rPr>
          <w:rFonts w:cstheme="minorHAnsi"/>
          <w:color w:val="000000"/>
          <w:sz w:val="24"/>
          <w:szCs w:val="24"/>
        </w:rPr>
        <w:t xml:space="preserve">Mobile Intensive Care Unit (MICU) or Specialty Care Transport Unit (SCTU), the following shall not appear on any company non-emergency transportation vehicle: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Symbols consisting of or resembling the "Star of Life," a Greek cross or a Maltese cross, or any symbol implying provision of advanced life support care; and/or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Words, or abbreviations of words, such as (but not limited to) "Advanced Life Support," "Basic Life Support," "Coronary Care," "Critical Care Transport Unit," "Emergency Medical Technician," "Intensive Care," "MICU," "Mobile Intensive Care," "Paramedic," "Special Care," "Specialty Care," "Specialty Care Transport Unit" or "Trauma."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words "Ambulance" or "Emergency" or an abbreviation of either word shall only appear when the word is part of the lawfully incorporated name of the provider.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 No company non-emergency medical transportation vehicle shall be equipped with, or appear to be equipped with, audible or visible emergency vehicle warning devices, including, but not limited to, red lights and sirens. </w:t>
      </w:r>
    </w:p>
    <w:p>
      <w:pPr>
        <w:autoSpaceDE w:val="0"/>
        <w:autoSpaceDN w:val="0"/>
        <w:adjustRightInd w:val="0"/>
        <w:spacing w:after="0" w:line="240" w:lineRule="auto"/>
        <w:jc w:val="both"/>
        <w:outlineLvl w:val="0"/>
      </w:pP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942874"/>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26</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2014-03-20T00:05:00Z</dcterms:created>
  <dcterms:modified xsi:type="dcterms:W3CDTF">2017-07-26T20:11:00Z</dcterms:modified>
</cp:coreProperties>
</file>