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3.9   Pneumatic Testing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guidelines for the testing of respiratory equipment.</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color w:val="000000"/>
          <w:sz w:val="24"/>
          <w:szCs w:val="24"/>
        </w:rPr>
        <w:t xml:space="preserve"> All respiratory equipment shall be pneumatically tested by the company at least once every six months and, if required by the manufacturer, at more frequent intervals. Testing respiratory equipment is performed using specially designed test equipment.</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Periodic pneumatic testing will be conducted by the company using the state licensing agency pneumatic testing guide, entitled "Pneumatic and Oxygen Delivery Testing Standards”.</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The results of all pneumatic tests shall be kept on file by the administrator or designee at the company's principal place of business.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(d) At the discretion of the state licensing agency, pneumatic testing conducted by approved outside agencies may be accepted for the purpose of vehicle licensure.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(e) The results of all pneumatic tests shall be made available to state licensing staff part of any annual or biennial inspection for the purpose of licensure of a vehicle.</w:t>
      </w:r>
    </w:p>
    <w:p>
      <w:pPr>
        <w:autoSpaceDE w:val="0"/>
        <w:autoSpaceDN w:val="0"/>
        <w:adjustRightInd w:val="0"/>
        <w:spacing w:after="0" w:line="240" w:lineRule="auto"/>
        <w:outlineLvl w:val="0"/>
        <w:rPr>
          <w:rFonts w:cstheme="minorHAnsi"/>
          <w:color w:val="000000"/>
          <w:sz w:val="24"/>
          <w:szCs w:val="24"/>
        </w:rPr>
      </w:pPr>
    </w:p>
    <w:p>
      <w:pPr>
        <w:autoSpaceDE w:val="0"/>
        <w:autoSpaceDN w:val="0"/>
        <w:adjustRightInd w:val="0"/>
        <w:spacing w:after="0" w:line="240" w:lineRule="auto"/>
        <w:outlineLvl w:val="0"/>
        <w:rPr>
          <w:rFonts w:cstheme="minorHAnsi"/>
          <w:color w:val="000000"/>
          <w:sz w:val="24"/>
          <w:szCs w:val="24"/>
        </w:rPr>
      </w:pPr>
    </w:p>
    <w:p>
      <w:pPr>
        <w:autoSpaceDE w:val="0"/>
        <w:autoSpaceDN w:val="0"/>
        <w:adjustRightInd w:val="0"/>
        <w:spacing w:after="0" w:line="240" w:lineRule="auto"/>
        <w:outlineLvl w:val="0"/>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632141"/>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0</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2014-03-19T00:49:00Z</dcterms:created>
  <dcterms:modified xsi:type="dcterms:W3CDTF">2017-07-26T20:14:00Z</dcterms:modified>
</cp:coreProperties>
</file>