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DE243A" w14:textId="77777777" w:rsidR="005C7538" w:rsidRDefault="0083101B" w:rsidP="005C7538">
      <w:pPr>
        <w:spacing w:after="0" w:line="240" w:lineRule="auto"/>
        <w:rPr>
          <w:rFonts w:asciiTheme="minorHAnsi" w:eastAsia="Times New Roman" w:hAnsiTheme="minorHAnsi" w:cstheme="minorHAnsi"/>
          <w:b/>
          <w:bCs/>
          <w:caps/>
          <w:sz w:val="28"/>
          <w:szCs w:val="28"/>
          <w:lang w:bidi="ar-SA"/>
        </w:rPr>
      </w:pPr>
      <w:r>
        <w:rPr>
          <w:rFonts w:asciiTheme="minorHAnsi" w:eastAsia="Times New Roman" w:hAnsiTheme="minorHAnsi" w:cstheme="minorHAnsi"/>
          <w:b/>
          <w:bCs/>
          <w:caps/>
          <w:sz w:val="28"/>
          <w:szCs w:val="28"/>
          <w:lang w:bidi="ar-SA"/>
        </w:rPr>
        <w:t xml:space="preserve">  </w:t>
      </w:r>
      <w:r w:rsidR="007A2866">
        <w:rPr>
          <w:rFonts w:asciiTheme="minorHAnsi" w:eastAsia="Times New Roman" w:hAnsiTheme="minorHAnsi" w:cstheme="minorHAnsi"/>
          <w:b/>
          <w:bCs/>
          <w:caps/>
          <w:sz w:val="28"/>
          <w:szCs w:val="28"/>
          <w:lang w:bidi="ar-SA"/>
        </w:rPr>
        <w:t>4.</w:t>
      </w:r>
      <w:r>
        <w:rPr>
          <w:rFonts w:asciiTheme="minorHAnsi" w:eastAsia="Times New Roman" w:hAnsiTheme="minorHAnsi" w:cstheme="minorHAnsi"/>
          <w:b/>
          <w:bCs/>
          <w:caps/>
          <w:sz w:val="28"/>
          <w:szCs w:val="28"/>
          <w:lang w:bidi="ar-SA"/>
        </w:rPr>
        <w:t>1</w:t>
      </w:r>
      <w:r w:rsidR="005C7538">
        <w:rPr>
          <w:rFonts w:asciiTheme="minorHAnsi" w:eastAsia="Times New Roman" w:hAnsiTheme="minorHAnsi" w:cstheme="minorHAnsi"/>
          <w:b/>
          <w:bCs/>
          <w:caps/>
          <w:sz w:val="28"/>
          <w:szCs w:val="28"/>
          <w:lang w:bidi="ar-SA"/>
        </w:rPr>
        <w:t xml:space="preserve">1 </w:t>
      </w:r>
      <w:r w:rsidR="005C7538" w:rsidRPr="005C7538">
        <w:rPr>
          <w:rFonts w:asciiTheme="minorHAnsi" w:eastAsia="Times New Roman" w:hAnsiTheme="minorHAnsi" w:cstheme="minorHAnsi"/>
          <w:b/>
          <w:bCs/>
          <w:caps/>
          <w:sz w:val="28"/>
          <w:szCs w:val="28"/>
          <w:lang w:bidi="ar-SA"/>
        </w:rPr>
        <w:t>PRE-EMPLOYMENT INQUIRIES/CRIMINAL OFFENDER RECORD</w:t>
      </w:r>
      <w:r w:rsidR="005C7538">
        <w:rPr>
          <w:rFonts w:asciiTheme="minorHAnsi" w:eastAsia="Times New Roman" w:hAnsiTheme="minorHAnsi" w:cstheme="minorHAnsi"/>
          <w:b/>
          <w:bCs/>
          <w:caps/>
          <w:sz w:val="28"/>
          <w:szCs w:val="28"/>
          <w:lang w:bidi="ar-SA"/>
        </w:rPr>
        <w:t xml:space="preserve">       </w:t>
      </w:r>
    </w:p>
    <w:p w14:paraId="1628A799" w14:textId="1A8D69A9" w:rsidR="00EB1885" w:rsidRDefault="005C7538" w:rsidP="005C7538">
      <w:pPr>
        <w:spacing w:after="0" w:line="240" w:lineRule="auto"/>
        <w:rPr>
          <w:rFonts w:asciiTheme="minorHAnsi" w:eastAsia="Times New Roman" w:hAnsiTheme="minorHAnsi" w:cstheme="minorHAnsi"/>
          <w:b/>
          <w:bCs/>
          <w:caps/>
          <w:sz w:val="28"/>
          <w:szCs w:val="28"/>
          <w:lang w:bidi="ar-SA"/>
        </w:rPr>
      </w:pPr>
      <w:r>
        <w:rPr>
          <w:rFonts w:asciiTheme="minorHAnsi" w:eastAsia="Times New Roman" w:hAnsiTheme="minorHAnsi" w:cstheme="minorHAnsi"/>
          <w:b/>
          <w:bCs/>
          <w:caps/>
          <w:sz w:val="28"/>
          <w:szCs w:val="28"/>
          <w:lang w:bidi="ar-SA"/>
        </w:rPr>
        <w:t xml:space="preserve">           </w:t>
      </w:r>
      <w:r w:rsidRPr="005C7538">
        <w:rPr>
          <w:rFonts w:asciiTheme="minorHAnsi" w:eastAsia="Times New Roman" w:hAnsiTheme="minorHAnsi" w:cstheme="minorHAnsi"/>
          <w:b/>
          <w:bCs/>
          <w:caps/>
          <w:sz w:val="28"/>
          <w:szCs w:val="28"/>
          <w:lang w:bidi="ar-SA"/>
        </w:rPr>
        <w:t>INFORMATION (CORI) POLICY</w:t>
      </w:r>
    </w:p>
    <w:p w14:paraId="68BBDE06" w14:textId="5E9B2099" w:rsidR="0083101B" w:rsidRDefault="0083101B" w:rsidP="0083101B">
      <w:pPr>
        <w:autoSpaceDE w:val="0"/>
        <w:autoSpaceDN w:val="0"/>
        <w:adjustRightInd w:val="0"/>
        <w:spacing w:after="0" w:line="240" w:lineRule="auto"/>
        <w:ind w:left="144"/>
        <w:jc w:val="both"/>
        <w:outlineLvl w:val="0"/>
        <w:rPr>
          <w:rFonts w:asciiTheme="minorHAnsi" w:eastAsiaTheme="minorHAnsi" w:hAnsiTheme="minorHAnsi" w:cstheme="minorHAnsi"/>
          <w:b/>
          <w:bCs/>
          <w:sz w:val="24"/>
          <w:szCs w:val="24"/>
          <w:lang w:bidi="ar-SA"/>
        </w:rPr>
      </w:pPr>
    </w:p>
    <w:p w14:paraId="003E7F1A" w14:textId="77777777" w:rsidR="005C7538" w:rsidRPr="0083101B" w:rsidRDefault="005C7538" w:rsidP="0083101B">
      <w:pPr>
        <w:autoSpaceDE w:val="0"/>
        <w:autoSpaceDN w:val="0"/>
        <w:adjustRightInd w:val="0"/>
        <w:spacing w:after="0" w:line="240" w:lineRule="auto"/>
        <w:ind w:left="144"/>
        <w:jc w:val="both"/>
        <w:outlineLvl w:val="0"/>
        <w:rPr>
          <w:rFonts w:asciiTheme="minorHAnsi" w:eastAsiaTheme="minorHAnsi" w:hAnsiTheme="minorHAnsi" w:cstheme="minorHAnsi"/>
          <w:b/>
          <w:bCs/>
          <w:sz w:val="24"/>
          <w:szCs w:val="24"/>
          <w:lang w:bidi="ar-SA"/>
        </w:rPr>
      </w:pPr>
    </w:p>
    <w:p w14:paraId="30D9FB75" w14:textId="77777777" w:rsidR="005C7538" w:rsidRDefault="005C7538" w:rsidP="005C7538">
      <w:pPr>
        <w:widowControl w:val="0"/>
        <w:tabs>
          <w:tab w:val="left" w:pos="3363"/>
        </w:tabs>
        <w:spacing w:after="0" w:line="240" w:lineRule="auto"/>
        <w:ind w:left="144"/>
        <w:jc w:val="both"/>
        <w:outlineLvl w:val="0"/>
        <w:rPr>
          <w:rFonts w:asciiTheme="minorHAnsi" w:eastAsiaTheme="minorHAnsi" w:hAnsiTheme="minorHAnsi" w:cstheme="minorHAnsi"/>
          <w:sz w:val="24"/>
          <w:szCs w:val="24"/>
          <w:lang w:bidi="ar-SA"/>
        </w:rPr>
      </w:pPr>
      <w:r w:rsidRPr="005C7538">
        <w:rPr>
          <w:rFonts w:asciiTheme="minorHAnsi" w:eastAsiaTheme="minorHAnsi" w:hAnsiTheme="minorHAnsi" w:cstheme="minorHAnsi"/>
          <w:b/>
          <w:sz w:val="24"/>
          <w:szCs w:val="24"/>
          <w:lang w:bidi="ar-SA"/>
        </w:rPr>
        <w:t>Purpose:</w:t>
      </w:r>
      <w:r w:rsidRPr="005C7538">
        <w:rPr>
          <w:rFonts w:asciiTheme="minorHAnsi" w:eastAsiaTheme="minorHAnsi" w:hAnsiTheme="minorHAnsi" w:cstheme="minorHAnsi"/>
          <w:sz w:val="24"/>
          <w:szCs w:val="24"/>
          <w:lang w:bidi="ar-SA"/>
        </w:rPr>
        <w:t xml:space="preserve"> </w:t>
      </w:r>
    </w:p>
    <w:p w14:paraId="05D9F202" w14:textId="77777777" w:rsidR="005C7538" w:rsidRDefault="005C7538" w:rsidP="005C7538">
      <w:pPr>
        <w:widowControl w:val="0"/>
        <w:tabs>
          <w:tab w:val="left" w:pos="3363"/>
        </w:tabs>
        <w:spacing w:after="0" w:line="240" w:lineRule="auto"/>
        <w:ind w:left="144"/>
        <w:jc w:val="both"/>
        <w:outlineLvl w:val="0"/>
        <w:rPr>
          <w:rFonts w:asciiTheme="minorHAnsi" w:eastAsiaTheme="minorHAnsi" w:hAnsiTheme="minorHAnsi" w:cstheme="minorHAnsi"/>
          <w:sz w:val="24"/>
          <w:szCs w:val="24"/>
          <w:lang w:bidi="ar-SA"/>
        </w:rPr>
      </w:pPr>
    </w:p>
    <w:p w14:paraId="789EC309" w14:textId="35908F65" w:rsidR="005C7538" w:rsidRPr="005C7538" w:rsidRDefault="005C7538" w:rsidP="005C7538">
      <w:pPr>
        <w:widowControl w:val="0"/>
        <w:tabs>
          <w:tab w:val="left" w:pos="3363"/>
        </w:tabs>
        <w:spacing w:after="0" w:line="240" w:lineRule="auto"/>
        <w:ind w:left="144"/>
        <w:jc w:val="both"/>
        <w:outlineLvl w:val="0"/>
        <w:rPr>
          <w:rFonts w:asciiTheme="minorHAnsi" w:eastAsiaTheme="minorHAnsi" w:hAnsiTheme="minorHAnsi" w:cstheme="minorHAnsi"/>
          <w:sz w:val="24"/>
          <w:szCs w:val="24"/>
          <w:lang w:bidi="ar-SA"/>
        </w:rPr>
      </w:pPr>
      <w:r w:rsidRPr="005C7538">
        <w:rPr>
          <w:rFonts w:asciiTheme="minorHAnsi" w:eastAsiaTheme="minorHAnsi" w:hAnsiTheme="minorHAnsi" w:cstheme="minorHAnsi"/>
          <w:sz w:val="24"/>
          <w:szCs w:val="24"/>
          <w:lang w:bidi="ar-SA"/>
        </w:rPr>
        <w:t>To explain the company’s Pre-Employment Inquiries/Criminal Offender Record Information (CORI) Policy.</w:t>
      </w:r>
    </w:p>
    <w:p w14:paraId="7DAD321E" w14:textId="77777777" w:rsidR="005C7538" w:rsidRPr="005C7538" w:rsidRDefault="005C7538" w:rsidP="005C7538">
      <w:pPr>
        <w:widowControl w:val="0"/>
        <w:tabs>
          <w:tab w:val="left" w:pos="3363"/>
        </w:tabs>
        <w:spacing w:after="0" w:line="240" w:lineRule="auto"/>
        <w:ind w:left="144"/>
        <w:jc w:val="both"/>
        <w:outlineLvl w:val="0"/>
        <w:rPr>
          <w:rFonts w:asciiTheme="minorHAnsi" w:eastAsiaTheme="minorHAnsi" w:hAnsiTheme="minorHAnsi" w:cstheme="minorHAnsi"/>
          <w:b/>
          <w:sz w:val="24"/>
          <w:szCs w:val="24"/>
          <w:lang w:bidi="ar-SA"/>
        </w:rPr>
      </w:pPr>
    </w:p>
    <w:p w14:paraId="6954AD0B" w14:textId="77777777" w:rsidR="005C7538" w:rsidRDefault="005C7538" w:rsidP="005C7538">
      <w:pPr>
        <w:widowControl w:val="0"/>
        <w:tabs>
          <w:tab w:val="left" w:pos="3363"/>
        </w:tabs>
        <w:spacing w:after="0" w:line="240" w:lineRule="auto"/>
        <w:ind w:left="144"/>
        <w:jc w:val="both"/>
        <w:outlineLvl w:val="0"/>
        <w:rPr>
          <w:rFonts w:asciiTheme="minorHAnsi" w:eastAsiaTheme="minorHAnsi" w:hAnsiTheme="minorHAnsi" w:cstheme="minorHAnsi"/>
          <w:b/>
          <w:sz w:val="24"/>
          <w:szCs w:val="24"/>
          <w:lang w:bidi="ar-SA"/>
        </w:rPr>
      </w:pPr>
      <w:r w:rsidRPr="005C7538">
        <w:rPr>
          <w:rFonts w:asciiTheme="minorHAnsi" w:eastAsiaTheme="minorHAnsi" w:hAnsiTheme="minorHAnsi" w:cstheme="minorHAnsi"/>
          <w:b/>
          <w:sz w:val="24"/>
          <w:szCs w:val="24"/>
          <w:lang w:bidi="ar-SA"/>
        </w:rPr>
        <w:t xml:space="preserve">Policy: </w:t>
      </w:r>
    </w:p>
    <w:p w14:paraId="665C57E7" w14:textId="77777777" w:rsidR="005C7538" w:rsidRDefault="005C7538" w:rsidP="005C7538">
      <w:pPr>
        <w:widowControl w:val="0"/>
        <w:tabs>
          <w:tab w:val="left" w:pos="3363"/>
        </w:tabs>
        <w:spacing w:after="0" w:line="240" w:lineRule="auto"/>
        <w:ind w:left="144"/>
        <w:jc w:val="both"/>
        <w:outlineLvl w:val="0"/>
        <w:rPr>
          <w:rFonts w:asciiTheme="minorHAnsi" w:eastAsiaTheme="minorHAnsi" w:hAnsiTheme="minorHAnsi" w:cstheme="minorHAnsi"/>
          <w:b/>
          <w:sz w:val="24"/>
          <w:szCs w:val="24"/>
          <w:lang w:bidi="ar-SA"/>
        </w:rPr>
      </w:pPr>
    </w:p>
    <w:p w14:paraId="7868AF3E" w14:textId="707F7FF2" w:rsidR="005C7538" w:rsidRPr="005C7538" w:rsidRDefault="005C7538" w:rsidP="005C7538">
      <w:pPr>
        <w:widowControl w:val="0"/>
        <w:tabs>
          <w:tab w:val="left" w:pos="3363"/>
        </w:tabs>
        <w:spacing w:after="0" w:line="240" w:lineRule="auto"/>
        <w:ind w:left="144"/>
        <w:jc w:val="both"/>
        <w:outlineLvl w:val="0"/>
        <w:rPr>
          <w:rFonts w:asciiTheme="minorHAnsi" w:eastAsiaTheme="minorHAnsi" w:hAnsiTheme="minorHAnsi" w:cstheme="minorHAnsi"/>
          <w:sz w:val="24"/>
          <w:szCs w:val="24"/>
          <w:lang w:bidi="ar-SA"/>
        </w:rPr>
      </w:pPr>
      <w:bookmarkStart w:id="0" w:name="_GoBack"/>
      <w:bookmarkEnd w:id="0"/>
      <w:r w:rsidRPr="005C7538">
        <w:rPr>
          <w:rFonts w:asciiTheme="minorHAnsi" w:eastAsiaTheme="minorHAnsi" w:hAnsiTheme="minorHAnsi" w:cstheme="minorHAnsi"/>
          <w:sz w:val="24"/>
          <w:szCs w:val="24"/>
          <w:lang w:bidi="ar-SA"/>
        </w:rPr>
        <w:t>The Company is an equal opportunity employer. It is the policy of this Company to hire qualified candidates for employment.</w:t>
      </w:r>
    </w:p>
    <w:p w14:paraId="6317D196" w14:textId="77777777" w:rsidR="005C7538" w:rsidRPr="005C7538" w:rsidRDefault="005C7538" w:rsidP="005C7538">
      <w:pPr>
        <w:widowControl w:val="0"/>
        <w:tabs>
          <w:tab w:val="left" w:pos="3363"/>
        </w:tabs>
        <w:spacing w:after="0" w:line="240" w:lineRule="auto"/>
        <w:ind w:left="144"/>
        <w:jc w:val="both"/>
        <w:outlineLvl w:val="0"/>
        <w:rPr>
          <w:rFonts w:asciiTheme="minorHAnsi" w:eastAsiaTheme="minorHAnsi" w:hAnsiTheme="minorHAnsi" w:cstheme="minorHAnsi"/>
          <w:sz w:val="24"/>
          <w:szCs w:val="24"/>
          <w:lang w:bidi="ar-SA"/>
        </w:rPr>
      </w:pPr>
    </w:p>
    <w:p w14:paraId="23D04F45" w14:textId="77777777" w:rsidR="005C7538" w:rsidRPr="005C7538" w:rsidRDefault="005C7538" w:rsidP="005C7538">
      <w:pPr>
        <w:widowControl w:val="0"/>
        <w:tabs>
          <w:tab w:val="left" w:pos="3363"/>
        </w:tabs>
        <w:spacing w:after="0" w:line="240" w:lineRule="auto"/>
        <w:ind w:left="144"/>
        <w:jc w:val="both"/>
        <w:outlineLvl w:val="0"/>
        <w:rPr>
          <w:rFonts w:asciiTheme="minorHAnsi" w:eastAsiaTheme="minorHAnsi" w:hAnsiTheme="minorHAnsi" w:cstheme="minorHAnsi"/>
          <w:sz w:val="24"/>
          <w:szCs w:val="24"/>
          <w:lang w:bidi="ar-SA"/>
        </w:rPr>
      </w:pPr>
      <w:r w:rsidRPr="005C7538">
        <w:rPr>
          <w:rFonts w:asciiTheme="minorHAnsi" w:eastAsiaTheme="minorHAnsi" w:hAnsiTheme="minorHAnsi" w:cstheme="minorHAnsi"/>
          <w:sz w:val="24"/>
          <w:szCs w:val="24"/>
          <w:lang w:bidi="ar-SA"/>
        </w:rPr>
        <w:t>The Company does not discriminate against an employee or applicant based on race, color, religion, sex, sexual orientation national origin, physical or mental handicaps, marital status, or military or political affiliation.</w:t>
      </w:r>
    </w:p>
    <w:p w14:paraId="097DD380" w14:textId="77777777" w:rsidR="005C7538" w:rsidRPr="005C7538" w:rsidRDefault="005C7538" w:rsidP="005C7538">
      <w:pPr>
        <w:widowControl w:val="0"/>
        <w:tabs>
          <w:tab w:val="left" w:pos="3363"/>
        </w:tabs>
        <w:spacing w:after="0" w:line="240" w:lineRule="auto"/>
        <w:ind w:left="144"/>
        <w:jc w:val="both"/>
        <w:outlineLvl w:val="0"/>
        <w:rPr>
          <w:rFonts w:asciiTheme="minorHAnsi" w:eastAsiaTheme="minorHAnsi" w:hAnsiTheme="minorHAnsi" w:cstheme="minorHAnsi"/>
          <w:sz w:val="24"/>
          <w:szCs w:val="24"/>
          <w:lang w:bidi="ar-SA"/>
        </w:rPr>
      </w:pPr>
    </w:p>
    <w:p w14:paraId="3B278947" w14:textId="77777777" w:rsidR="005C7538" w:rsidRPr="005C7538" w:rsidRDefault="005C7538" w:rsidP="005C7538">
      <w:pPr>
        <w:widowControl w:val="0"/>
        <w:tabs>
          <w:tab w:val="left" w:pos="3363"/>
        </w:tabs>
        <w:spacing w:after="0" w:line="240" w:lineRule="auto"/>
        <w:ind w:left="144"/>
        <w:jc w:val="both"/>
        <w:outlineLvl w:val="0"/>
        <w:rPr>
          <w:rFonts w:asciiTheme="minorHAnsi" w:eastAsiaTheme="minorHAnsi" w:hAnsiTheme="minorHAnsi" w:cstheme="minorHAnsi"/>
          <w:sz w:val="24"/>
          <w:szCs w:val="24"/>
          <w:lang w:bidi="ar-SA"/>
        </w:rPr>
      </w:pPr>
      <w:r w:rsidRPr="005C7538">
        <w:rPr>
          <w:rFonts w:asciiTheme="minorHAnsi" w:eastAsiaTheme="minorHAnsi" w:hAnsiTheme="minorHAnsi" w:cstheme="minorHAnsi"/>
          <w:sz w:val="24"/>
          <w:szCs w:val="24"/>
          <w:lang w:bidi="ar-SA"/>
        </w:rPr>
        <w:t>Job applicants will be assessed on the basis of their ability to perform the job for which they are interviewing without regard to non-job-related criteria.  The employee's opportunity to work at the Company will not be jeopardized by the employee's refusal to answer a non-job-related question, with the exception of criminal record (see below).</w:t>
      </w:r>
    </w:p>
    <w:p w14:paraId="76CA2FF9" w14:textId="77777777" w:rsidR="005C7538" w:rsidRPr="005C7538" w:rsidRDefault="005C7538" w:rsidP="005C7538">
      <w:pPr>
        <w:widowControl w:val="0"/>
        <w:tabs>
          <w:tab w:val="left" w:pos="3363"/>
        </w:tabs>
        <w:spacing w:after="0" w:line="240" w:lineRule="auto"/>
        <w:ind w:left="144"/>
        <w:jc w:val="both"/>
        <w:outlineLvl w:val="0"/>
        <w:rPr>
          <w:rFonts w:asciiTheme="minorHAnsi" w:eastAsiaTheme="minorHAnsi" w:hAnsiTheme="minorHAnsi" w:cstheme="minorHAnsi"/>
          <w:sz w:val="24"/>
          <w:szCs w:val="24"/>
          <w:lang w:bidi="ar-SA"/>
        </w:rPr>
      </w:pPr>
    </w:p>
    <w:p w14:paraId="459F52BA" w14:textId="77777777" w:rsidR="005C7538" w:rsidRPr="005C7538" w:rsidRDefault="005C7538" w:rsidP="005C7538">
      <w:pPr>
        <w:tabs>
          <w:tab w:val="left" w:pos="3363"/>
        </w:tabs>
        <w:spacing w:after="0" w:line="240" w:lineRule="auto"/>
        <w:ind w:left="144"/>
        <w:jc w:val="both"/>
        <w:outlineLvl w:val="0"/>
        <w:rPr>
          <w:rFonts w:asciiTheme="minorHAnsi" w:eastAsiaTheme="minorHAnsi" w:hAnsiTheme="minorHAnsi" w:cstheme="minorHAnsi"/>
          <w:sz w:val="24"/>
          <w:szCs w:val="24"/>
          <w:lang w:bidi="ar-SA"/>
        </w:rPr>
      </w:pPr>
      <w:r w:rsidRPr="005C7538">
        <w:rPr>
          <w:rFonts w:asciiTheme="minorHAnsi" w:eastAsiaTheme="minorHAnsi" w:hAnsiTheme="minorHAnsi" w:cstheme="minorHAnsi"/>
          <w:sz w:val="24"/>
          <w:szCs w:val="24"/>
          <w:lang w:bidi="ar-SA"/>
        </w:rPr>
        <w:t xml:space="preserve">Information received from Criminal Offender Record Information (CORI) and/or the state registry (for applicable states only) will be reviewed by the Administrator or designee.  Reports containing no “negative” findings will be filed in a separate, confidential, personnel file, and applicant will be considered for employment. Reports that have any other findings will be reviewed by the Administrator or designee.  Applicants will not be “automatically” rejected because of past criminal records.  Each applicant’s record will be reviewed on a case-by-case basis.  Criteria used to make a decision include, but are not limited </w:t>
      </w:r>
      <w:proofErr w:type="gramStart"/>
      <w:r w:rsidRPr="005C7538">
        <w:rPr>
          <w:rFonts w:asciiTheme="minorHAnsi" w:eastAsiaTheme="minorHAnsi" w:hAnsiTheme="minorHAnsi" w:cstheme="minorHAnsi"/>
          <w:sz w:val="24"/>
          <w:szCs w:val="24"/>
          <w:lang w:bidi="ar-SA"/>
        </w:rPr>
        <w:t>to:</w:t>
      </w:r>
      <w:proofErr w:type="gramEnd"/>
      <w:r w:rsidRPr="005C7538">
        <w:rPr>
          <w:rFonts w:asciiTheme="minorHAnsi" w:eastAsiaTheme="minorHAnsi" w:hAnsiTheme="minorHAnsi" w:cstheme="minorHAnsi"/>
          <w:sz w:val="24"/>
          <w:szCs w:val="24"/>
          <w:lang w:bidi="ar-SA"/>
        </w:rPr>
        <w:t xml:space="preserve"> references, applicant interview, no history of criminal judgments for the past ten years, and recent work history.  Reports of abusive behavior, violent criminal judgments, or incarceration are reasons to reject the applicant.</w:t>
      </w:r>
    </w:p>
    <w:p w14:paraId="0C35795F" w14:textId="77777777" w:rsidR="005C7538" w:rsidRPr="005C7538" w:rsidRDefault="005C7538" w:rsidP="005C7538">
      <w:pPr>
        <w:widowControl w:val="0"/>
        <w:tabs>
          <w:tab w:val="left" w:pos="3363"/>
        </w:tabs>
        <w:spacing w:after="0" w:line="240" w:lineRule="auto"/>
        <w:ind w:left="144"/>
        <w:jc w:val="both"/>
        <w:outlineLvl w:val="0"/>
        <w:rPr>
          <w:rFonts w:asciiTheme="minorHAnsi" w:eastAsiaTheme="minorHAnsi" w:hAnsiTheme="minorHAnsi" w:cstheme="minorHAnsi"/>
          <w:sz w:val="24"/>
          <w:szCs w:val="24"/>
          <w:lang w:bidi="ar-SA"/>
        </w:rPr>
      </w:pPr>
    </w:p>
    <w:p w14:paraId="7A7DF625" w14:textId="77777777" w:rsidR="005C7538" w:rsidRPr="005C7538" w:rsidRDefault="005C7538" w:rsidP="005C7538">
      <w:pPr>
        <w:widowControl w:val="0"/>
        <w:tabs>
          <w:tab w:val="left" w:pos="3363"/>
        </w:tabs>
        <w:spacing w:after="0" w:line="240" w:lineRule="auto"/>
        <w:ind w:left="144"/>
        <w:jc w:val="both"/>
        <w:outlineLvl w:val="0"/>
        <w:rPr>
          <w:rFonts w:asciiTheme="minorHAnsi" w:eastAsiaTheme="minorHAnsi" w:hAnsiTheme="minorHAnsi" w:cstheme="minorHAnsi"/>
          <w:sz w:val="24"/>
          <w:szCs w:val="24"/>
          <w:lang w:bidi="ar-SA"/>
        </w:rPr>
      </w:pPr>
      <w:r w:rsidRPr="005C7538">
        <w:rPr>
          <w:rFonts w:asciiTheme="minorHAnsi" w:eastAsiaTheme="minorHAnsi" w:hAnsiTheme="minorHAnsi" w:cstheme="minorHAnsi"/>
          <w:sz w:val="24"/>
          <w:szCs w:val="24"/>
          <w:lang w:bidi="ar-SA"/>
        </w:rPr>
        <w:t>Under no circumstances will an applicant/employee begin employment before the CORI results are obtained and reviewed.</w:t>
      </w:r>
    </w:p>
    <w:p w14:paraId="4D58D1F7" w14:textId="77777777" w:rsidR="005C7538" w:rsidRPr="005C7538" w:rsidRDefault="005C7538" w:rsidP="005C7538">
      <w:pPr>
        <w:widowControl w:val="0"/>
        <w:tabs>
          <w:tab w:val="left" w:pos="3363"/>
        </w:tabs>
        <w:spacing w:after="0" w:line="240" w:lineRule="auto"/>
        <w:jc w:val="both"/>
        <w:outlineLvl w:val="0"/>
        <w:rPr>
          <w:rFonts w:asciiTheme="minorHAnsi" w:eastAsiaTheme="minorHAnsi" w:hAnsiTheme="minorHAnsi" w:cstheme="minorHAnsi"/>
          <w:sz w:val="24"/>
          <w:szCs w:val="24"/>
          <w:lang w:bidi="ar-SA"/>
        </w:rPr>
      </w:pPr>
    </w:p>
    <w:p w14:paraId="637BD98E" w14:textId="77777777" w:rsidR="005C7538" w:rsidRPr="005C7538" w:rsidRDefault="005C7538" w:rsidP="005C7538">
      <w:pPr>
        <w:tabs>
          <w:tab w:val="left" w:pos="3363"/>
        </w:tabs>
        <w:spacing w:after="0" w:line="240" w:lineRule="auto"/>
        <w:ind w:left="144"/>
        <w:jc w:val="both"/>
        <w:outlineLvl w:val="0"/>
        <w:rPr>
          <w:rFonts w:asciiTheme="minorHAnsi" w:eastAsiaTheme="minorHAnsi" w:hAnsiTheme="minorHAnsi" w:cstheme="minorHAnsi"/>
          <w:sz w:val="24"/>
          <w:szCs w:val="24"/>
          <w:lang w:bidi="ar-SA"/>
        </w:rPr>
      </w:pPr>
      <w:r w:rsidRPr="005C7538">
        <w:rPr>
          <w:rFonts w:asciiTheme="minorHAnsi" w:eastAsiaTheme="minorHAnsi" w:hAnsiTheme="minorHAnsi" w:cstheme="minorHAnsi"/>
          <w:sz w:val="24"/>
          <w:szCs w:val="24"/>
          <w:lang w:bidi="ar-SA"/>
        </w:rPr>
        <w:t>If CORI is required by state/federal regulations then a Consent form is signed by job applicants before background check is done.</w:t>
      </w:r>
    </w:p>
    <w:p w14:paraId="2155FAD9" w14:textId="77777777" w:rsidR="005C7538" w:rsidRPr="005C7538" w:rsidRDefault="005C7538" w:rsidP="005C7538">
      <w:pPr>
        <w:tabs>
          <w:tab w:val="left" w:pos="720"/>
          <w:tab w:val="left" w:pos="3363"/>
        </w:tabs>
        <w:spacing w:after="0" w:line="240" w:lineRule="auto"/>
        <w:jc w:val="both"/>
        <w:outlineLvl w:val="0"/>
        <w:rPr>
          <w:rFonts w:asciiTheme="minorHAnsi" w:eastAsiaTheme="minorHAnsi" w:hAnsiTheme="minorHAnsi" w:cstheme="minorHAnsi"/>
          <w:sz w:val="24"/>
          <w:szCs w:val="24"/>
          <w:lang w:bidi="ar-SA"/>
        </w:rPr>
      </w:pPr>
    </w:p>
    <w:p w14:paraId="0A41686C" w14:textId="77777777" w:rsidR="0083101B" w:rsidRPr="0083101B" w:rsidRDefault="0083101B" w:rsidP="0083101B">
      <w:pPr>
        <w:spacing w:line="276" w:lineRule="auto"/>
        <w:jc w:val="both"/>
        <w:rPr>
          <w:rFonts w:asciiTheme="minorHAnsi" w:eastAsiaTheme="minorHAnsi" w:hAnsiTheme="minorHAnsi" w:cstheme="minorBidi"/>
          <w:lang w:bidi="ar-SA"/>
        </w:rPr>
      </w:pPr>
    </w:p>
    <w:p w14:paraId="5D0D3638" w14:textId="56A3030C" w:rsidR="00EB1885" w:rsidRDefault="00EB1885" w:rsidP="0083101B">
      <w:pPr>
        <w:spacing w:after="0" w:line="240" w:lineRule="auto"/>
        <w:jc w:val="both"/>
        <w:rPr>
          <w:rFonts w:asciiTheme="minorHAnsi" w:eastAsia="Times New Roman" w:hAnsiTheme="minorHAnsi" w:cstheme="minorHAnsi"/>
          <w:sz w:val="24"/>
          <w:szCs w:val="24"/>
          <w:lang w:bidi="ar-SA"/>
        </w:rPr>
      </w:pPr>
    </w:p>
    <w:p w14:paraId="5EE5FAE7" w14:textId="77777777" w:rsidR="00EB1885" w:rsidRDefault="00EB1885">
      <w:pPr>
        <w:jc w:val="both"/>
        <w:rPr>
          <w:rFonts w:asciiTheme="minorHAnsi" w:hAnsiTheme="minorHAnsi"/>
          <w:sz w:val="24"/>
          <w:szCs w:val="24"/>
        </w:rPr>
      </w:pPr>
    </w:p>
    <w:p w14:paraId="37D753B9" w14:textId="77777777" w:rsidR="00EB1885" w:rsidRDefault="00EB1885">
      <w:pPr>
        <w:jc w:val="both"/>
        <w:rPr>
          <w:rFonts w:asciiTheme="minorHAnsi" w:hAnsiTheme="minorHAnsi"/>
          <w:sz w:val="24"/>
          <w:szCs w:val="24"/>
        </w:rPr>
      </w:pPr>
    </w:p>
    <w:sectPr w:rsidR="00EB188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AF40FE" w14:textId="77777777" w:rsidR="007A2866" w:rsidRDefault="007A2866">
      <w:pPr>
        <w:spacing w:after="0" w:line="240" w:lineRule="auto"/>
      </w:pPr>
      <w:r>
        <w:separator/>
      </w:r>
    </w:p>
  </w:endnote>
  <w:endnote w:type="continuationSeparator" w:id="0">
    <w:p w14:paraId="64F59377" w14:textId="77777777" w:rsidR="007A2866" w:rsidRDefault="007A2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A0329" w14:textId="77777777" w:rsidR="00EB1885" w:rsidRDefault="00EB18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8138116"/>
      <w:docPartObj>
        <w:docPartGallery w:val="Page Numbers (Bottom of Page)"/>
        <w:docPartUnique/>
      </w:docPartObj>
    </w:sdtPr>
    <w:sdtEndPr>
      <w:rPr>
        <w:noProof/>
      </w:rPr>
    </w:sdtEndPr>
    <w:sdtContent>
      <w:p w14:paraId="792704A4" w14:textId="77777777" w:rsidR="00EB1885" w:rsidRDefault="007A2866">
        <w:pPr>
          <w:pStyle w:val="Footer"/>
          <w:jc w:val="right"/>
        </w:pPr>
      </w:p>
    </w:sdtContent>
  </w:sdt>
  <w:p w14:paraId="68E9F62C" w14:textId="77777777" w:rsidR="00EB1885" w:rsidRDefault="00EB18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62D14" w14:textId="77777777" w:rsidR="00EB1885" w:rsidRDefault="00EB18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39BC52" w14:textId="77777777" w:rsidR="007A2866" w:rsidRDefault="007A2866">
      <w:pPr>
        <w:spacing w:after="0" w:line="240" w:lineRule="auto"/>
      </w:pPr>
      <w:r>
        <w:separator/>
      </w:r>
    </w:p>
  </w:footnote>
  <w:footnote w:type="continuationSeparator" w:id="0">
    <w:p w14:paraId="3677F748" w14:textId="77777777" w:rsidR="007A2866" w:rsidRDefault="007A28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FC3A3" w14:textId="77777777" w:rsidR="00EB1885" w:rsidRDefault="00EB18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92174" w14:textId="77777777" w:rsidR="00EB1885" w:rsidRDefault="00EB18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81C99" w14:textId="77777777" w:rsidR="00EB1885" w:rsidRDefault="00EB18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C37E6"/>
    <w:multiLevelType w:val="multilevel"/>
    <w:tmpl w:val="754A12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9D36DA"/>
    <w:multiLevelType w:val="multilevel"/>
    <w:tmpl w:val="100AA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50265E"/>
    <w:multiLevelType w:val="multilevel"/>
    <w:tmpl w:val="4D1A5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C27318"/>
    <w:multiLevelType w:val="multilevel"/>
    <w:tmpl w:val="4AD2ED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45F7968"/>
    <w:multiLevelType w:val="hybridMultilevel"/>
    <w:tmpl w:val="20409C90"/>
    <w:lvl w:ilvl="0" w:tplc="E4C61926">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5" w15:restartNumberingAfterBreak="0">
    <w:nsid w:val="27494DA4"/>
    <w:multiLevelType w:val="multilevel"/>
    <w:tmpl w:val="9D8436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FF6395E"/>
    <w:multiLevelType w:val="hybridMultilevel"/>
    <w:tmpl w:val="050C0998"/>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62ED5A20"/>
    <w:multiLevelType w:val="multilevel"/>
    <w:tmpl w:val="89E8F0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630"/>
        </w:tabs>
        <w:ind w:left="63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DA40416"/>
    <w:multiLevelType w:val="hybridMultilevel"/>
    <w:tmpl w:val="3C4CAE16"/>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3">
      <w:start w:val="1"/>
      <w:numFmt w:val="bullet"/>
      <w:lvlText w:val="o"/>
      <w:lvlJc w:val="left"/>
      <w:pPr>
        <w:ind w:left="900" w:hanging="360"/>
      </w:pPr>
      <w:rPr>
        <w:rFonts w:ascii="Courier New" w:hAnsi="Courier New" w:cs="Courier New"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735A0FD6"/>
    <w:multiLevelType w:val="hybridMultilevel"/>
    <w:tmpl w:val="00ECA520"/>
    <w:lvl w:ilvl="0" w:tplc="04090001">
      <w:start w:val="1"/>
      <w:numFmt w:val="bullet"/>
      <w:lvlText w:val=""/>
      <w:lvlJc w:val="left"/>
      <w:pPr>
        <w:ind w:left="540" w:hanging="360"/>
      </w:pPr>
      <w:rPr>
        <w:rFonts w:ascii="Symbol" w:hAnsi="Symbol" w:hint="default"/>
      </w:rPr>
    </w:lvl>
    <w:lvl w:ilvl="1" w:tplc="59A46EDA">
      <w:numFmt w:val="bullet"/>
      <w:lvlText w:val="-"/>
      <w:lvlJc w:val="left"/>
      <w:pPr>
        <w:ind w:left="1260" w:hanging="360"/>
      </w:pPr>
      <w:rPr>
        <w:rFonts w:ascii="Calibri" w:eastAsiaTheme="minorHAnsi" w:hAnsi="Calibri" w:cs="Calibri"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0" w15:restartNumberingAfterBreak="0">
    <w:nsid w:val="7F0359F3"/>
    <w:multiLevelType w:val="multilevel"/>
    <w:tmpl w:val="FFC84A9C"/>
    <w:lvl w:ilvl="0">
      <w:start w:val="1"/>
      <w:numFmt w:val="decimal"/>
      <w:lvlText w:val="%1."/>
      <w:lvlJc w:val="left"/>
      <w:pPr>
        <w:tabs>
          <w:tab w:val="num" w:pos="450"/>
        </w:tabs>
        <w:ind w:left="450" w:hanging="360"/>
      </w:pPr>
    </w:lvl>
    <w:lvl w:ilvl="1" w:tentative="1">
      <w:start w:val="1"/>
      <w:numFmt w:val="decimal"/>
      <w:lvlText w:val="%2."/>
      <w:lvlJc w:val="left"/>
      <w:pPr>
        <w:tabs>
          <w:tab w:val="num" w:pos="1170"/>
        </w:tabs>
        <w:ind w:left="1170" w:hanging="360"/>
      </w:pPr>
    </w:lvl>
    <w:lvl w:ilvl="2" w:tentative="1">
      <w:start w:val="1"/>
      <w:numFmt w:val="decimal"/>
      <w:lvlText w:val="%3."/>
      <w:lvlJc w:val="left"/>
      <w:pPr>
        <w:tabs>
          <w:tab w:val="num" w:pos="1890"/>
        </w:tabs>
        <w:ind w:left="1890" w:hanging="360"/>
      </w:pPr>
    </w:lvl>
    <w:lvl w:ilvl="3" w:tentative="1">
      <w:start w:val="1"/>
      <w:numFmt w:val="decimal"/>
      <w:lvlText w:val="%4."/>
      <w:lvlJc w:val="left"/>
      <w:pPr>
        <w:tabs>
          <w:tab w:val="num" w:pos="2610"/>
        </w:tabs>
        <w:ind w:left="2610" w:hanging="360"/>
      </w:pPr>
    </w:lvl>
    <w:lvl w:ilvl="4" w:tentative="1">
      <w:start w:val="1"/>
      <w:numFmt w:val="decimal"/>
      <w:lvlText w:val="%5."/>
      <w:lvlJc w:val="left"/>
      <w:pPr>
        <w:tabs>
          <w:tab w:val="num" w:pos="3330"/>
        </w:tabs>
        <w:ind w:left="3330" w:hanging="360"/>
      </w:pPr>
    </w:lvl>
    <w:lvl w:ilvl="5" w:tentative="1">
      <w:start w:val="1"/>
      <w:numFmt w:val="decimal"/>
      <w:lvlText w:val="%6."/>
      <w:lvlJc w:val="left"/>
      <w:pPr>
        <w:tabs>
          <w:tab w:val="num" w:pos="4050"/>
        </w:tabs>
        <w:ind w:left="4050" w:hanging="360"/>
      </w:pPr>
    </w:lvl>
    <w:lvl w:ilvl="6" w:tentative="1">
      <w:start w:val="1"/>
      <w:numFmt w:val="decimal"/>
      <w:lvlText w:val="%7."/>
      <w:lvlJc w:val="left"/>
      <w:pPr>
        <w:tabs>
          <w:tab w:val="num" w:pos="4770"/>
        </w:tabs>
        <w:ind w:left="4770" w:hanging="360"/>
      </w:pPr>
    </w:lvl>
    <w:lvl w:ilvl="7" w:tentative="1">
      <w:start w:val="1"/>
      <w:numFmt w:val="decimal"/>
      <w:lvlText w:val="%8."/>
      <w:lvlJc w:val="left"/>
      <w:pPr>
        <w:tabs>
          <w:tab w:val="num" w:pos="5490"/>
        </w:tabs>
        <w:ind w:left="5490" w:hanging="360"/>
      </w:pPr>
    </w:lvl>
    <w:lvl w:ilvl="8" w:tentative="1">
      <w:start w:val="1"/>
      <w:numFmt w:val="decimal"/>
      <w:lvlText w:val="%9."/>
      <w:lvlJc w:val="left"/>
      <w:pPr>
        <w:tabs>
          <w:tab w:val="num" w:pos="6210"/>
        </w:tabs>
        <w:ind w:left="6210" w:hanging="360"/>
      </w:pPr>
    </w:lvl>
  </w:abstractNum>
  <w:num w:numId="1">
    <w:abstractNumId w:val="9"/>
  </w:num>
  <w:num w:numId="2">
    <w:abstractNumId w:val="6"/>
  </w:num>
  <w:num w:numId="3">
    <w:abstractNumId w:val="8"/>
  </w:num>
  <w:num w:numId="4">
    <w:abstractNumId w:val="4"/>
  </w:num>
  <w:num w:numId="5">
    <w:abstractNumId w:val="10"/>
  </w:num>
  <w:num w:numId="6">
    <w:abstractNumId w:val="7"/>
  </w:num>
  <w:num w:numId="7">
    <w:abstractNumId w:val="0"/>
  </w:num>
  <w:num w:numId="8">
    <w:abstractNumId w:val="5"/>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885"/>
    <w:rsid w:val="005C7538"/>
    <w:rsid w:val="007A2866"/>
    <w:rsid w:val="0083101B"/>
    <w:rsid w:val="00EB1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B8E23"/>
  <w15:docId w15:val="{8EE53FB0-EB2C-4249-94E8-AC92EE36B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2" w:lineRule="auto"/>
    </w:pPr>
    <w:rPr>
      <w:rFonts w:asciiTheme="majorHAnsi" w:eastAsiaTheme="majorEastAsia" w:hAnsiTheme="majorHAnsi" w:cstheme="majorBid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304</Words>
  <Characters>1735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PMCS</dc:creator>
  <cp:lastModifiedBy>Precision Management</cp:lastModifiedBy>
  <cp:revision>2</cp:revision>
  <dcterms:created xsi:type="dcterms:W3CDTF">2019-11-21T14:45:00Z</dcterms:created>
  <dcterms:modified xsi:type="dcterms:W3CDTF">2019-11-21T14:45:00Z</dcterms:modified>
</cp:coreProperties>
</file>