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3C2B81" w14:textId="005BB987" w:rsidR="003C746C" w:rsidRDefault="00B65B29">
      <w:pPr>
        <w:pStyle w:val="ListParagraph"/>
        <w:autoSpaceDE w:val="0"/>
        <w:autoSpaceDN w:val="0"/>
        <w:adjustRightInd w:val="0"/>
        <w:spacing w:after="0" w:line="240" w:lineRule="auto"/>
        <w:ind w:left="694"/>
        <w:jc w:val="both"/>
        <w:outlineLvl w:val="0"/>
        <w:rPr>
          <w:rFonts w:cstheme="minorHAnsi"/>
          <w:b/>
          <w:bCs/>
          <w:color w:val="000000"/>
          <w:sz w:val="28"/>
          <w:szCs w:val="28"/>
        </w:rPr>
      </w:pPr>
      <w:r>
        <w:rPr>
          <w:rFonts w:cstheme="minorHAnsi"/>
          <w:b/>
          <w:bCs/>
          <w:color w:val="000000"/>
          <w:sz w:val="28"/>
          <w:szCs w:val="28"/>
        </w:rPr>
        <w:t xml:space="preserve"> </w:t>
      </w:r>
    </w:p>
    <w:p w14:paraId="535DD63E" w14:textId="77777777" w:rsidR="003C746C" w:rsidRDefault="00B65B29">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This Standard</w:t>
      </w:r>
      <w:r>
        <w:rPr>
          <w:rFonts w:cstheme="minorHAnsi"/>
          <w:b/>
          <w:bCs/>
          <w:color w:val="000000"/>
          <w:sz w:val="24"/>
          <w:szCs w:val="24"/>
        </w:rPr>
        <w:t xml:space="preserve"> Operating Procedures Manual </w:t>
      </w:r>
      <w:r>
        <w:rPr>
          <w:rFonts w:cstheme="minorHAnsi"/>
          <w:bCs/>
          <w:color w:val="000000"/>
          <w:sz w:val="24"/>
          <w:szCs w:val="24"/>
        </w:rPr>
        <w:t xml:space="preserve">provide standards which delineate what should be included in the company’s standard operating proceeds and the usage </w:t>
      </w:r>
      <w:r>
        <w:rPr>
          <w:rFonts w:cstheme="minorHAnsi"/>
          <w:bCs/>
          <w:color w:val="000000"/>
          <w:sz w:val="24"/>
          <w:szCs w:val="24"/>
        </w:rPr>
        <w:t>of the SOP manual.</w:t>
      </w:r>
    </w:p>
    <w:p w14:paraId="51F0F552" w14:textId="77777777" w:rsidR="003C746C" w:rsidRDefault="003C746C">
      <w:pPr>
        <w:autoSpaceDE w:val="0"/>
        <w:autoSpaceDN w:val="0"/>
        <w:adjustRightInd w:val="0"/>
        <w:spacing w:after="0" w:line="240" w:lineRule="auto"/>
        <w:ind w:left="144"/>
        <w:jc w:val="both"/>
        <w:outlineLvl w:val="0"/>
        <w:rPr>
          <w:rFonts w:cstheme="minorHAnsi"/>
          <w:b/>
          <w:bCs/>
          <w:color w:val="000000"/>
          <w:sz w:val="24"/>
          <w:szCs w:val="24"/>
        </w:rPr>
      </w:pPr>
    </w:p>
    <w:p w14:paraId="24001ABD" w14:textId="77777777" w:rsidR="003C746C" w:rsidRDefault="00B65B29">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Policy:</w:t>
      </w:r>
      <w:r>
        <w:rPr>
          <w:rFonts w:cstheme="minorHAnsi"/>
          <w:bCs/>
          <w:color w:val="000000"/>
          <w:sz w:val="24"/>
          <w:szCs w:val="24"/>
        </w:rPr>
        <w:t xml:space="preserve"> The Company has developed and maintains the standard operating procedures (SOP) manual to reflect the methods of daily operation and to provide the standards to each employee. The SOP manual will be available in a binder labeled</w:t>
      </w:r>
      <w:r>
        <w:rPr>
          <w:rFonts w:cstheme="minorHAnsi"/>
          <w:bCs/>
          <w:color w:val="000000"/>
          <w:sz w:val="24"/>
          <w:szCs w:val="24"/>
        </w:rPr>
        <w:t xml:space="preserve"> “SOP Manual”. A copy of the SOP manual shall be available at each location where a vehicle is garaged, shall be readily accessible to all crewmembers and shall be made available to State regulatory agency upon demand. The SOP manual  address the following</w:t>
      </w:r>
      <w:r>
        <w:rPr>
          <w:rFonts w:cstheme="minorHAnsi"/>
          <w:bCs/>
          <w:color w:val="000000"/>
          <w:sz w:val="24"/>
          <w:szCs w:val="24"/>
        </w:rPr>
        <w:t xml:space="preserve"> employees' responsibilities in cooperating with inspections, the rules governing vehicles placed in unusable status, the possibility of incurring monetary penalties in case of licensure violations, having training credentials available and performing duti</w:t>
      </w:r>
      <w:r>
        <w:rPr>
          <w:rFonts w:cstheme="minorHAnsi"/>
          <w:bCs/>
          <w:color w:val="000000"/>
          <w:sz w:val="24"/>
          <w:szCs w:val="24"/>
        </w:rPr>
        <w:t>es in a professional manner. The SOP manual shall address sanitation requirements, confidentiality of patient information, maintenance of records, vehicle cleanliness, and communicable disease guidelines, placing patients into physical behavioral restraint</w:t>
      </w:r>
      <w:r>
        <w:rPr>
          <w:rFonts w:cstheme="minorHAnsi"/>
          <w:bCs/>
          <w:color w:val="000000"/>
          <w:sz w:val="24"/>
          <w:szCs w:val="24"/>
        </w:rPr>
        <w:t>s, patient rights, vehicle breakdowns, child and elder abuse reporting requirements, portable and mobile radio.  The SOP manual shall also contain a nondiscrimination statement, outlining the service's willingness to transport and treat patients regardless</w:t>
      </w:r>
      <w:r>
        <w:rPr>
          <w:rFonts w:cstheme="minorHAnsi"/>
          <w:bCs/>
          <w:color w:val="000000"/>
          <w:sz w:val="24"/>
          <w:szCs w:val="24"/>
        </w:rPr>
        <w:t xml:space="preserve"> of a person's race, sex, creed, national origin, sexual preference, age, disability, medical condition (including, but not limited to, patients with AIDS/HIV, TB, Hepatitis B or other communicable diseases) or ability to pay. A current copy of the state r</w:t>
      </w:r>
      <w:r>
        <w:rPr>
          <w:rFonts w:cstheme="minorHAnsi"/>
          <w:bCs/>
          <w:color w:val="000000"/>
          <w:sz w:val="24"/>
          <w:szCs w:val="24"/>
        </w:rPr>
        <w:t>egulatory agency rules and regulations shall be included in the SOP manual</w:t>
      </w:r>
      <w:r>
        <w:rPr>
          <w:rFonts w:cstheme="minorHAnsi"/>
          <w:b/>
          <w:bCs/>
          <w:color w:val="000000"/>
          <w:sz w:val="24"/>
          <w:szCs w:val="24"/>
        </w:rPr>
        <w:t>.</w:t>
      </w:r>
    </w:p>
    <w:p w14:paraId="330E973B" w14:textId="77777777" w:rsidR="003C746C" w:rsidRDefault="003C746C">
      <w:pPr>
        <w:autoSpaceDE w:val="0"/>
        <w:autoSpaceDN w:val="0"/>
        <w:adjustRightInd w:val="0"/>
        <w:spacing w:after="0" w:line="240" w:lineRule="auto"/>
        <w:ind w:left="144"/>
        <w:jc w:val="both"/>
        <w:outlineLvl w:val="0"/>
        <w:rPr>
          <w:rFonts w:cstheme="minorHAnsi"/>
          <w:b/>
          <w:bCs/>
          <w:color w:val="000000"/>
          <w:sz w:val="24"/>
          <w:szCs w:val="24"/>
        </w:rPr>
      </w:pPr>
    </w:p>
    <w:p w14:paraId="51CC92B7" w14:textId="77777777" w:rsidR="003C746C" w:rsidRDefault="00B65B29">
      <w:pPr>
        <w:autoSpaceDE w:val="0"/>
        <w:autoSpaceDN w:val="0"/>
        <w:adjustRightInd w:val="0"/>
        <w:spacing w:after="0" w:line="240" w:lineRule="auto"/>
        <w:ind w:left="144"/>
        <w:jc w:val="both"/>
        <w:outlineLvl w:val="0"/>
        <w:rPr>
          <w:rFonts w:cstheme="minorHAnsi"/>
          <w:bCs/>
          <w:color w:val="000000"/>
          <w:sz w:val="24"/>
          <w:szCs w:val="24"/>
        </w:rPr>
      </w:pPr>
      <w:r>
        <w:rPr>
          <w:rFonts w:cstheme="minorHAnsi"/>
          <w:bCs/>
          <w:color w:val="000000"/>
          <w:sz w:val="24"/>
          <w:szCs w:val="24"/>
        </w:rPr>
        <w:t>The SOP Manual will be reviewed annually by the administrator and senior management with input from staff to ensure the manual reflects current practice and all relevant state and</w:t>
      </w:r>
      <w:r>
        <w:rPr>
          <w:rFonts w:cstheme="minorHAnsi"/>
          <w:bCs/>
          <w:color w:val="000000"/>
          <w:sz w:val="24"/>
          <w:szCs w:val="24"/>
        </w:rPr>
        <w:t xml:space="preserve"> federal regulations.</w:t>
      </w:r>
    </w:p>
    <w:p w14:paraId="30255FFB" w14:textId="77777777" w:rsidR="003C746C" w:rsidRDefault="003C746C">
      <w:pPr>
        <w:jc w:val="both"/>
      </w:pPr>
    </w:p>
    <w:p w14:paraId="24DFF06F" w14:textId="77777777" w:rsidR="003C746C" w:rsidRDefault="003C746C">
      <w:pPr>
        <w:jc w:val="both"/>
      </w:pPr>
    </w:p>
    <w:sectPr w:rsidR="003C746C" w:rsidSect="0009192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BE3B3" w14:textId="77777777" w:rsidR="00B65B29" w:rsidRDefault="00B65B29">
      <w:pPr>
        <w:spacing w:after="0" w:line="240" w:lineRule="auto"/>
      </w:pPr>
      <w:r>
        <w:separator/>
      </w:r>
    </w:p>
  </w:endnote>
  <w:endnote w:type="continuationSeparator" w:id="0">
    <w:p w14:paraId="3887D9BD" w14:textId="77777777" w:rsidR="00B65B29" w:rsidRDefault="00B65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21002A87" w:usb1="00000000" w:usb2="00000000"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B900C" w14:textId="77777777" w:rsidR="0009192B" w:rsidRDefault="000919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BCD4" w14:textId="77777777" w:rsidR="003C746C" w:rsidRDefault="003C746C">
    <w:pPr>
      <w:pStyle w:val="Footer"/>
      <w:jc w:val="right"/>
    </w:pPr>
  </w:p>
  <w:p w14:paraId="3ABAE862" w14:textId="77777777" w:rsidR="003C746C" w:rsidRDefault="003C74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171D5" w14:textId="77777777" w:rsidR="0009192B" w:rsidRDefault="00091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04954C" w14:textId="77777777" w:rsidR="00B65B29" w:rsidRDefault="00B65B29">
      <w:pPr>
        <w:spacing w:after="0" w:line="240" w:lineRule="auto"/>
      </w:pPr>
      <w:r>
        <w:separator/>
      </w:r>
    </w:p>
  </w:footnote>
  <w:footnote w:type="continuationSeparator" w:id="0">
    <w:p w14:paraId="185B0D0F" w14:textId="77777777" w:rsidR="00B65B29" w:rsidRDefault="00B65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AB257" w14:textId="77777777" w:rsidR="0009192B" w:rsidRDefault="000919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ook w:val="01E0" w:firstRow="1" w:lastRow="1" w:firstColumn="1" w:lastColumn="1" w:noHBand="0" w:noVBand="0"/>
    </w:tblPr>
    <w:tblGrid>
      <w:gridCol w:w="6768"/>
      <w:gridCol w:w="3150"/>
    </w:tblGrid>
    <w:tr w:rsidR="0009192B" w:rsidRPr="0009192B" w14:paraId="40A7EFDC" w14:textId="77777777" w:rsidTr="0009192B">
      <w:tc>
        <w:tcPr>
          <w:tcW w:w="6768" w:type="dxa"/>
        </w:tcPr>
        <w:p w14:paraId="327A2A0C" w14:textId="2E088B21" w:rsidR="0009192B" w:rsidRPr="0009192B" w:rsidRDefault="0009192B" w:rsidP="0009192B">
          <w:pPr>
            <w:spacing w:before="60"/>
            <w:rPr>
              <w:rFonts w:asciiTheme="minorHAnsi" w:hAnsiTheme="minorHAnsi" w:cstheme="minorHAnsi"/>
              <w:b/>
              <w:caps/>
              <w:color w:val="FF0000"/>
              <w:sz w:val="22"/>
              <w:szCs w:val="22"/>
            </w:rPr>
          </w:pPr>
          <w:bookmarkStart w:id="0" w:name="_GoBack"/>
          <w:r w:rsidRPr="0009192B">
            <w:rPr>
              <w:rFonts w:asciiTheme="minorHAnsi" w:hAnsiTheme="minorHAnsi" w:cstheme="minorHAnsi"/>
              <w:b/>
              <w:caps/>
              <w:color w:val="000000" w:themeColor="text1"/>
              <w:sz w:val="22"/>
              <w:szCs w:val="22"/>
            </w:rPr>
            <w:t xml:space="preserve">Non-Emergency Medical Transportation </w:t>
          </w:r>
          <w:r w:rsidRPr="0009192B">
            <w:rPr>
              <w:rFonts w:asciiTheme="minorHAnsi" w:hAnsiTheme="minorHAnsi" w:cstheme="minorHAnsi"/>
              <w:b/>
              <w:caps/>
              <w:color w:val="000000" w:themeColor="text1"/>
              <w:sz w:val="22"/>
              <w:szCs w:val="22"/>
            </w:rPr>
            <w:t xml:space="preserve">Policies and Procedures </w:t>
          </w:r>
        </w:p>
      </w:tc>
      <w:tc>
        <w:tcPr>
          <w:tcW w:w="3150" w:type="dxa"/>
          <w:vMerge w:val="restart"/>
        </w:tcPr>
        <w:p w14:paraId="13ABCB6E" w14:textId="6E03DC76" w:rsidR="0009192B" w:rsidRPr="0009192B" w:rsidRDefault="0009192B" w:rsidP="0009192B">
          <w:pPr>
            <w:jc w:val="center"/>
            <w:rPr>
              <w:rFonts w:asciiTheme="minorHAnsi" w:hAnsiTheme="minorHAnsi" w:cstheme="minorHAnsi"/>
              <w:b/>
              <w:caps/>
              <w:sz w:val="22"/>
              <w:szCs w:val="22"/>
            </w:rPr>
          </w:pPr>
        </w:p>
      </w:tc>
    </w:tr>
    <w:tr w:rsidR="0009192B" w:rsidRPr="0009192B" w14:paraId="6BA4E9EA" w14:textId="77777777" w:rsidTr="0009192B">
      <w:tc>
        <w:tcPr>
          <w:tcW w:w="6768" w:type="dxa"/>
        </w:tcPr>
        <w:p w14:paraId="05A9ADE8" w14:textId="77777777" w:rsidR="0009192B" w:rsidRPr="0009192B" w:rsidRDefault="0009192B" w:rsidP="0009192B">
          <w:pPr>
            <w:rPr>
              <w:rFonts w:asciiTheme="minorHAnsi" w:hAnsiTheme="minorHAnsi" w:cstheme="minorHAnsi"/>
              <w:b/>
              <w:caps/>
              <w:sz w:val="22"/>
              <w:szCs w:val="22"/>
            </w:rPr>
          </w:pPr>
        </w:p>
        <w:p w14:paraId="59814EBC" w14:textId="77777777" w:rsidR="0009192B" w:rsidRPr="0009192B" w:rsidRDefault="0009192B" w:rsidP="0009192B">
          <w:pPr>
            <w:rPr>
              <w:rFonts w:asciiTheme="minorHAnsi" w:hAnsiTheme="minorHAnsi" w:cstheme="minorHAnsi"/>
              <w:b/>
              <w:caps/>
              <w:sz w:val="22"/>
              <w:szCs w:val="22"/>
            </w:rPr>
          </w:pPr>
          <w:r w:rsidRPr="0009192B">
            <w:rPr>
              <w:rFonts w:asciiTheme="minorHAnsi" w:hAnsiTheme="minorHAnsi" w:cstheme="minorHAnsi"/>
              <w:b/>
              <w:caps/>
              <w:sz w:val="22"/>
              <w:szCs w:val="22"/>
            </w:rPr>
            <w:t xml:space="preserve">Section 1:       Organization &amp; Administration   </w:t>
          </w:r>
        </w:p>
        <w:p w14:paraId="50B657A4" w14:textId="77777777" w:rsidR="0009192B" w:rsidRPr="0009192B" w:rsidRDefault="0009192B" w:rsidP="0009192B">
          <w:pPr>
            <w:rPr>
              <w:rFonts w:asciiTheme="minorHAnsi" w:hAnsiTheme="minorHAnsi" w:cstheme="minorHAnsi"/>
              <w:b/>
              <w:caps/>
              <w:sz w:val="22"/>
              <w:szCs w:val="22"/>
            </w:rPr>
          </w:pPr>
        </w:p>
      </w:tc>
      <w:tc>
        <w:tcPr>
          <w:tcW w:w="3150" w:type="dxa"/>
          <w:vMerge/>
        </w:tcPr>
        <w:p w14:paraId="7E4D0425" w14:textId="77777777" w:rsidR="0009192B" w:rsidRPr="0009192B" w:rsidRDefault="0009192B" w:rsidP="0009192B">
          <w:pPr>
            <w:rPr>
              <w:rFonts w:asciiTheme="minorHAnsi" w:hAnsiTheme="minorHAnsi" w:cstheme="minorHAnsi"/>
              <w:b/>
              <w:caps/>
              <w:sz w:val="22"/>
              <w:szCs w:val="22"/>
            </w:rPr>
          </w:pPr>
        </w:p>
      </w:tc>
    </w:tr>
    <w:tr w:rsidR="0009192B" w:rsidRPr="0009192B" w14:paraId="6CE75CB6" w14:textId="77777777" w:rsidTr="0009192B">
      <w:tc>
        <w:tcPr>
          <w:tcW w:w="6768" w:type="dxa"/>
          <w:vMerge w:val="restart"/>
        </w:tcPr>
        <w:p w14:paraId="30AE9432" w14:textId="77777777" w:rsidR="0009192B" w:rsidRPr="0009192B" w:rsidRDefault="0009192B" w:rsidP="0009192B">
          <w:pPr>
            <w:rPr>
              <w:rFonts w:asciiTheme="minorHAnsi" w:hAnsiTheme="minorHAnsi" w:cstheme="minorHAnsi"/>
              <w:b/>
              <w:caps/>
              <w:sz w:val="22"/>
              <w:szCs w:val="22"/>
            </w:rPr>
          </w:pPr>
        </w:p>
        <w:p w14:paraId="34780214" w14:textId="5980ACCB" w:rsidR="0009192B" w:rsidRPr="0009192B" w:rsidRDefault="0009192B" w:rsidP="0009192B">
          <w:pPr>
            <w:ind w:left="900" w:hanging="900"/>
            <w:rPr>
              <w:rFonts w:asciiTheme="minorHAnsi" w:hAnsiTheme="minorHAnsi" w:cstheme="minorHAnsi"/>
              <w:b/>
              <w:caps/>
              <w:sz w:val="22"/>
              <w:szCs w:val="22"/>
            </w:rPr>
          </w:pPr>
          <w:r w:rsidRPr="0009192B">
            <w:rPr>
              <w:rFonts w:asciiTheme="minorHAnsi" w:hAnsiTheme="minorHAnsi" w:cstheme="minorHAnsi"/>
              <w:b/>
              <w:bCs/>
              <w:caps/>
              <w:color w:val="000000"/>
              <w:sz w:val="22"/>
              <w:szCs w:val="22"/>
            </w:rPr>
            <w:t xml:space="preserve">POLICY TITLE: </w:t>
          </w:r>
          <w:r w:rsidRPr="0009192B">
            <w:rPr>
              <w:rFonts w:asciiTheme="minorHAnsi" w:hAnsiTheme="minorHAnsi" w:cstheme="minorHAnsi"/>
              <w:b/>
              <w:bCs/>
              <w:caps/>
              <w:color w:val="000000"/>
              <w:sz w:val="22"/>
              <w:szCs w:val="22"/>
            </w:rPr>
            <w:t xml:space="preserve">STANDARD OPERATING PROCEDURES </w:t>
          </w:r>
        </w:p>
        <w:p w14:paraId="7AF490C7" w14:textId="77777777" w:rsidR="0009192B" w:rsidRPr="0009192B" w:rsidRDefault="0009192B" w:rsidP="0009192B">
          <w:pPr>
            <w:rPr>
              <w:rFonts w:asciiTheme="minorHAnsi" w:hAnsiTheme="minorHAnsi" w:cstheme="minorHAnsi"/>
              <w:b/>
              <w:caps/>
              <w:sz w:val="22"/>
              <w:szCs w:val="22"/>
            </w:rPr>
          </w:pPr>
        </w:p>
        <w:p w14:paraId="1363287E" w14:textId="77777777" w:rsidR="0009192B" w:rsidRPr="0009192B" w:rsidRDefault="0009192B" w:rsidP="0009192B">
          <w:pPr>
            <w:rPr>
              <w:rFonts w:asciiTheme="minorHAnsi" w:hAnsiTheme="minorHAnsi" w:cstheme="minorHAnsi"/>
              <w:b/>
              <w:caps/>
              <w:sz w:val="22"/>
              <w:szCs w:val="22"/>
            </w:rPr>
          </w:pPr>
        </w:p>
      </w:tc>
      <w:tc>
        <w:tcPr>
          <w:tcW w:w="3150" w:type="dxa"/>
        </w:tcPr>
        <w:p w14:paraId="5E152989" w14:textId="504B51AC" w:rsidR="0009192B" w:rsidRPr="0009192B" w:rsidRDefault="0009192B" w:rsidP="0009192B">
          <w:pPr>
            <w:rPr>
              <w:rFonts w:asciiTheme="minorHAnsi" w:hAnsiTheme="minorHAnsi" w:cstheme="minorHAnsi"/>
              <w:b/>
              <w:caps/>
              <w:sz w:val="22"/>
              <w:szCs w:val="22"/>
            </w:rPr>
          </w:pPr>
          <w:r w:rsidRPr="0009192B">
            <w:rPr>
              <w:rFonts w:asciiTheme="minorHAnsi" w:hAnsiTheme="minorHAnsi" w:cstheme="minorHAnsi"/>
              <w:b/>
              <w:caps/>
              <w:sz w:val="22"/>
              <w:szCs w:val="22"/>
            </w:rPr>
            <w:t>Policy Number:  1.1</w:t>
          </w:r>
        </w:p>
      </w:tc>
    </w:tr>
    <w:tr w:rsidR="0009192B" w:rsidRPr="0009192B" w14:paraId="7562C855" w14:textId="77777777" w:rsidTr="0009192B">
      <w:tc>
        <w:tcPr>
          <w:tcW w:w="6768" w:type="dxa"/>
          <w:vMerge/>
        </w:tcPr>
        <w:p w14:paraId="02DC9A32" w14:textId="77777777" w:rsidR="0009192B" w:rsidRPr="0009192B" w:rsidRDefault="0009192B" w:rsidP="0009192B">
          <w:pPr>
            <w:rPr>
              <w:rFonts w:asciiTheme="minorHAnsi" w:hAnsiTheme="minorHAnsi" w:cstheme="minorHAnsi"/>
              <w:b/>
              <w:caps/>
              <w:sz w:val="22"/>
              <w:szCs w:val="22"/>
            </w:rPr>
          </w:pPr>
        </w:p>
      </w:tc>
      <w:tc>
        <w:tcPr>
          <w:tcW w:w="3150" w:type="dxa"/>
        </w:tcPr>
        <w:p w14:paraId="64142F2D" w14:textId="77777777" w:rsidR="0009192B" w:rsidRPr="0009192B" w:rsidRDefault="0009192B" w:rsidP="0009192B">
          <w:pPr>
            <w:rPr>
              <w:rFonts w:asciiTheme="minorHAnsi" w:hAnsiTheme="minorHAnsi" w:cstheme="minorHAnsi"/>
              <w:b/>
              <w:caps/>
              <w:sz w:val="22"/>
              <w:szCs w:val="22"/>
            </w:rPr>
          </w:pPr>
          <w:r w:rsidRPr="0009192B">
            <w:rPr>
              <w:rFonts w:asciiTheme="minorHAnsi" w:hAnsiTheme="minorHAnsi" w:cstheme="minorHAnsi"/>
              <w:b/>
              <w:caps/>
              <w:sz w:val="22"/>
              <w:szCs w:val="22"/>
            </w:rPr>
            <w:t xml:space="preserve">Effective Date: </w:t>
          </w:r>
        </w:p>
      </w:tc>
    </w:tr>
    <w:tr w:rsidR="0009192B" w:rsidRPr="0009192B" w14:paraId="50D4AE97" w14:textId="77777777" w:rsidTr="0009192B">
      <w:tc>
        <w:tcPr>
          <w:tcW w:w="6768" w:type="dxa"/>
          <w:vMerge/>
        </w:tcPr>
        <w:p w14:paraId="69AC66CD" w14:textId="77777777" w:rsidR="0009192B" w:rsidRPr="0009192B" w:rsidRDefault="0009192B" w:rsidP="0009192B">
          <w:pPr>
            <w:rPr>
              <w:rFonts w:asciiTheme="minorHAnsi" w:hAnsiTheme="minorHAnsi" w:cstheme="minorHAnsi"/>
              <w:b/>
              <w:caps/>
              <w:sz w:val="22"/>
              <w:szCs w:val="22"/>
            </w:rPr>
          </w:pPr>
        </w:p>
      </w:tc>
      <w:tc>
        <w:tcPr>
          <w:tcW w:w="3150" w:type="dxa"/>
        </w:tcPr>
        <w:p w14:paraId="15F0C57B" w14:textId="77777777" w:rsidR="0009192B" w:rsidRPr="0009192B" w:rsidRDefault="0009192B" w:rsidP="0009192B">
          <w:pPr>
            <w:rPr>
              <w:rFonts w:asciiTheme="minorHAnsi" w:hAnsiTheme="minorHAnsi" w:cstheme="minorHAnsi"/>
              <w:b/>
              <w:caps/>
              <w:sz w:val="22"/>
              <w:szCs w:val="22"/>
            </w:rPr>
          </w:pPr>
          <w:r w:rsidRPr="0009192B">
            <w:rPr>
              <w:rFonts w:asciiTheme="minorHAnsi" w:hAnsiTheme="minorHAnsi" w:cstheme="minorHAnsi"/>
              <w:b/>
              <w:caps/>
              <w:sz w:val="22"/>
              <w:szCs w:val="22"/>
            </w:rPr>
            <w:t>Revision Date:</w:t>
          </w:r>
        </w:p>
      </w:tc>
    </w:tr>
    <w:tr w:rsidR="0009192B" w:rsidRPr="0009192B" w14:paraId="63E8A708" w14:textId="77777777" w:rsidTr="0009192B">
      <w:tc>
        <w:tcPr>
          <w:tcW w:w="6768" w:type="dxa"/>
          <w:vMerge/>
        </w:tcPr>
        <w:p w14:paraId="0A3AA575" w14:textId="77777777" w:rsidR="0009192B" w:rsidRPr="0009192B" w:rsidRDefault="0009192B" w:rsidP="0009192B">
          <w:pPr>
            <w:rPr>
              <w:rFonts w:asciiTheme="minorHAnsi" w:hAnsiTheme="minorHAnsi" w:cstheme="minorHAnsi"/>
              <w:b/>
              <w:caps/>
              <w:sz w:val="22"/>
              <w:szCs w:val="22"/>
            </w:rPr>
          </w:pPr>
        </w:p>
      </w:tc>
      <w:tc>
        <w:tcPr>
          <w:tcW w:w="3150" w:type="dxa"/>
        </w:tcPr>
        <w:p w14:paraId="06EA41BD" w14:textId="77777777" w:rsidR="0009192B" w:rsidRPr="0009192B" w:rsidRDefault="0009192B" w:rsidP="0009192B">
          <w:pPr>
            <w:rPr>
              <w:rFonts w:asciiTheme="minorHAnsi" w:hAnsiTheme="minorHAnsi" w:cstheme="minorHAnsi"/>
              <w:b/>
              <w:caps/>
              <w:sz w:val="22"/>
              <w:szCs w:val="22"/>
            </w:rPr>
          </w:pPr>
          <w:r w:rsidRPr="0009192B">
            <w:rPr>
              <w:rFonts w:asciiTheme="minorHAnsi" w:hAnsiTheme="minorHAnsi" w:cstheme="minorHAnsi"/>
              <w:b/>
              <w:caps/>
              <w:sz w:val="22"/>
              <w:szCs w:val="22"/>
            </w:rPr>
            <w:t>Approved By:</w:t>
          </w:r>
        </w:p>
      </w:tc>
    </w:tr>
    <w:tr w:rsidR="0009192B" w:rsidRPr="0009192B" w14:paraId="4E850DE7" w14:textId="77777777" w:rsidTr="0009192B">
      <w:tc>
        <w:tcPr>
          <w:tcW w:w="6768" w:type="dxa"/>
          <w:vMerge/>
        </w:tcPr>
        <w:p w14:paraId="6F5CC0A9" w14:textId="77777777" w:rsidR="0009192B" w:rsidRPr="0009192B" w:rsidRDefault="0009192B" w:rsidP="0009192B">
          <w:pPr>
            <w:rPr>
              <w:rFonts w:asciiTheme="minorHAnsi" w:hAnsiTheme="minorHAnsi" w:cstheme="minorHAnsi"/>
              <w:b/>
              <w:caps/>
              <w:sz w:val="22"/>
              <w:szCs w:val="22"/>
            </w:rPr>
          </w:pPr>
        </w:p>
      </w:tc>
      <w:tc>
        <w:tcPr>
          <w:tcW w:w="3150" w:type="dxa"/>
        </w:tcPr>
        <w:p w14:paraId="5457FCAB" w14:textId="77777777" w:rsidR="0009192B" w:rsidRPr="0009192B" w:rsidRDefault="0009192B" w:rsidP="0009192B">
          <w:pPr>
            <w:rPr>
              <w:rFonts w:asciiTheme="minorHAnsi" w:hAnsiTheme="minorHAnsi" w:cstheme="minorHAnsi"/>
              <w:b/>
              <w:caps/>
              <w:sz w:val="22"/>
              <w:szCs w:val="22"/>
            </w:rPr>
          </w:pPr>
          <w:r w:rsidRPr="0009192B">
            <w:rPr>
              <w:rFonts w:asciiTheme="minorHAnsi" w:hAnsiTheme="minorHAnsi" w:cstheme="minorHAnsi"/>
              <w:b/>
              <w:caps/>
              <w:sz w:val="22"/>
              <w:szCs w:val="22"/>
            </w:rPr>
            <w:t xml:space="preserve">Page Number:    Page </w:t>
          </w:r>
          <w:r w:rsidRPr="0009192B">
            <w:rPr>
              <w:rFonts w:asciiTheme="minorHAnsi" w:hAnsiTheme="minorHAnsi" w:cstheme="minorHAnsi"/>
              <w:b/>
              <w:caps/>
              <w:sz w:val="22"/>
              <w:szCs w:val="22"/>
            </w:rPr>
            <w:fldChar w:fldCharType="begin"/>
          </w:r>
          <w:r w:rsidRPr="0009192B">
            <w:rPr>
              <w:rFonts w:asciiTheme="minorHAnsi" w:hAnsiTheme="minorHAnsi" w:cstheme="minorHAnsi"/>
              <w:b/>
              <w:caps/>
              <w:sz w:val="22"/>
              <w:szCs w:val="22"/>
            </w:rPr>
            <w:instrText xml:space="preserve"> PAGE </w:instrText>
          </w:r>
          <w:r w:rsidRPr="0009192B">
            <w:rPr>
              <w:rFonts w:asciiTheme="minorHAnsi" w:hAnsiTheme="minorHAnsi" w:cstheme="minorHAnsi"/>
              <w:b/>
              <w:caps/>
              <w:sz w:val="22"/>
              <w:szCs w:val="22"/>
            </w:rPr>
            <w:fldChar w:fldCharType="separate"/>
          </w:r>
          <w:r w:rsidRPr="0009192B">
            <w:rPr>
              <w:rFonts w:asciiTheme="minorHAnsi" w:hAnsiTheme="minorHAnsi" w:cstheme="minorHAnsi"/>
              <w:b/>
              <w:caps/>
              <w:noProof/>
              <w:sz w:val="22"/>
              <w:szCs w:val="22"/>
            </w:rPr>
            <w:t>1</w:t>
          </w:r>
          <w:r w:rsidRPr="0009192B">
            <w:rPr>
              <w:rFonts w:asciiTheme="minorHAnsi" w:hAnsiTheme="minorHAnsi" w:cstheme="minorHAnsi"/>
              <w:b/>
              <w:caps/>
              <w:sz w:val="22"/>
              <w:szCs w:val="22"/>
            </w:rPr>
            <w:fldChar w:fldCharType="end"/>
          </w:r>
          <w:r w:rsidRPr="0009192B">
            <w:rPr>
              <w:rFonts w:asciiTheme="minorHAnsi" w:hAnsiTheme="minorHAnsi" w:cstheme="minorHAnsi"/>
              <w:b/>
              <w:caps/>
              <w:sz w:val="22"/>
              <w:szCs w:val="22"/>
            </w:rPr>
            <w:t xml:space="preserve"> of </w:t>
          </w:r>
          <w:r w:rsidRPr="0009192B">
            <w:rPr>
              <w:rFonts w:asciiTheme="minorHAnsi" w:hAnsiTheme="minorHAnsi" w:cstheme="minorHAnsi"/>
              <w:b/>
              <w:caps/>
              <w:sz w:val="22"/>
              <w:szCs w:val="22"/>
            </w:rPr>
            <w:fldChar w:fldCharType="begin"/>
          </w:r>
          <w:r w:rsidRPr="0009192B">
            <w:rPr>
              <w:rFonts w:asciiTheme="minorHAnsi" w:hAnsiTheme="minorHAnsi" w:cstheme="minorHAnsi"/>
              <w:b/>
              <w:caps/>
              <w:sz w:val="22"/>
              <w:szCs w:val="22"/>
            </w:rPr>
            <w:instrText xml:space="preserve"> NUMPAGES </w:instrText>
          </w:r>
          <w:r w:rsidRPr="0009192B">
            <w:rPr>
              <w:rFonts w:asciiTheme="minorHAnsi" w:hAnsiTheme="minorHAnsi" w:cstheme="minorHAnsi"/>
              <w:b/>
              <w:caps/>
              <w:sz w:val="22"/>
              <w:szCs w:val="22"/>
            </w:rPr>
            <w:fldChar w:fldCharType="separate"/>
          </w:r>
          <w:r w:rsidRPr="0009192B">
            <w:rPr>
              <w:rFonts w:asciiTheme="minorHAnsi" w:hAnsiTheme="minorHAnsi" w:cstheme="minorHAnsi"/>
              <w:b/>
              <w:caps/>
              <w:noProof/>
              <w:sz w:val="22"/>
              <w:szCs w:val="22"/>
            </w:rPr>
            <w:t>1</w:t>
          </w:r>
          <w:r w:rsidRPr="0009192B">
            <w:rPr>
              <w:rFonts w:asciiTheme="minorHAnsi" w:hAnsiTheme="minorHAnsi" w:cstheme="minorHAnsi"/>
              <w:b/>
              <w:caps/>
              <w:sz w:val="22"/>
              <w:szCs w:val="22"/>
            </w:rPr>
            <w:fldChar w:fldCharType="end"/>
          </w:r>
        </w:p>
      </w:tc>
    </w:tr>
    <w:bookmarkEnd w:id="0"/>
  </w:tbl>
  <w:p w14:paraId="2183414F" w14:textId="77777777" w:rsidR="0009192B" w:rsidRDefault="000919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5E80C" w14:textId="77777777" w:rsidR="0009192B" w:rsidRDefault="00091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C414CE"/>
    <w:multiLevelType w:val="multilevel"/>
    <w:tmpl w:val="D046C22A"/>
    <w:lvl w:ilvl="0">
      <w:start w:val="1"/>
      <w:numFmt w:val="decimal"/>
      <w:lvlText w:val="%1"/>
      <w:lvlJc w:val="left"/>
      <w:pPr>
        <w:ind w:left="550" w:hanging="550"/>
      </w:pPr>
      <w:rPr>
        <w:rFonts w:hint="default"/>
      </w:rPr>
    </w:lvl>
    <w:lvl w:ilvl="1">
      <w:start w:val="1"/>
      <w:numFmt w:val="decimal"/>
      <w:lvlText w:val="%1.%2"/>
      <w:lvlJc w:val="left"/>
      <w:pPr>
        <w:ind w:left="694" w:hanging="55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512" w:hanging="108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808" w:hanging="1800"/>
      </w:pPr>
      <w:rPr>
        <w:rFonts w:hint="default"/>
      </w:rPr>
    </w:lvl>
    <w:lvl w:ilvl="8">
      <w:start w:val="1"/>
      <w:numFmt w:val="decimal"/>
      <w:lvlText w:val="%1.%2.%3.%4.%5.%6.%7.%8.%9"/>
      <w:lvlJc w:val="left"/>
      <w:pPr>
        <w:ind w:left="331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746C"/>
    <w:rsid w:val="0009192B"/>
    <w:rsid w:val="003C746C"/>
    <w:rsid w:val="00B65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06550"/>
  <w15:docId w15:val="{65BBC78A-0FF2-485B-9F39-DFC4ABAE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Precision Management</cp:lastModifiedBy>
  <cp:revision>8</cp:revision>
  <dcterms:created xsi:type="dcterms:W3CDTF">2014-03-18T00:05:00Z</dcterms:created>
  <dcterms:modified xsi:type="dcterms:W3CDTF">2018-10-10T02:15:00Z</dcterms:modified>
</cp:coreProperties>
</file>