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3363"/>
        </w:tabs>
        <w:spacing w:after="0" w:line="240" w:lineRule="auto"/>
        <w:ind w:left="144"/>
        <w:jc w:val="both"/>
        <w:outlineLvl w:val="0"/>
        <w:rPr>
          <w:rFonts w:cstheme="minorHAnsi"/>
          <w:b/>
          <w:caps/>
          <w:sz w:val="28"/>
          <w:szCs w:val="28"/>
        </w:rPr>
      </w:pPr>
      <w:bookmarkStart w:id="0" w:name="_GoBack"/>
      <w:bookmarkEnd w:id="0"/>
      <w:r>
        <w:rPr>
          <w:rFonts w:cstheme="minorHAnsi"/>
          <w:b/>
          <w:caps/>
          <w:sz w:val="28"/>
          <w:szCs w:val="28"/>
        </w:rPr>
        <w:t>4.4   Violence in the Workplace Prevention Policy</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Purpose:</w:t>
      </w:r>
      <w:r>
        <w:rPr>
          <w:rFonts w:cstheme="minorHAnsi"/>
          <w:sz w:val="24"/>
          <w:szCs w:val="24"/>
        </w:rPr>
        <w:t xml:space="preserve"> To provide guidelines to prevent workplace violence. </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Policy:</w:t>
      </w:r>
      <w:r>
        <w:rPr>
          <w:rFonts w:cstheme="minorHAnsi"/>
          <w:sz w:val="24"/>
          <w:szCs w:val="24"/>
        </w:rPr>
        <w:t xml:space="preserve"> The Company is committed to providing a safe environment for employees, patients and visitors. The Company refuses to tolerate violence in the workplace and will make every effort to prevent violent incidents from occurring by investigating violence.  The Company requires prompt and accurate reporting of all violent incidents, whether or not physical injury has occurred.</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The Company will not discriminate against victims of workplace violence.  Its workplace violence prevention program ensures that all employees, including supervisors and managers, adhere to work practices that are designed to make the workplace more secure and do not engage in verbal threats or physical actions that create a security hazard for others in the workplace.</w:t>
      </w:r>
    </w:p>
    <w:p>
      <w:pPr>
        <w:keepNext/>
        <w:tabs>
          <w:tab w:val="left" w:pos="3363"/>
          <w:tab w:val="right" w:pos="9360"/>
        </w:tabs>
        <w:spacing w:after="0" w:line="240" w:lineRule="auto"/>
        <w:jc w:val="both"/>
        <w:outlineLvl w:val="2"/>
        <w:rPr>
          <w:rFonts w:cstheme="minorHAnsi"/>
          <w:sz w:val="24"/>
          <w:szCs w:val="24"/>
        </w:rPr>
      </w:pPr>
      <w:bookmarkStart w:id="1" w:name="_Toc226273268"/>
    </w:p>
    <w:p>
      <w:pPr>
        <w:keepNext/>
        <w:tabs>
          <w:tab w:val="left" w:pos="3363"/>
          <w:tab w:val="right" w:pos="9360"/>
        </w:tabs>
        <w:spacing w:after="0" w:line="240" w:lineRule="auto"/>
        <w:ind w:left="144"/>
        <w:jc w:val="both"/>
        <w:outlineLvl w:val="2"/>
        <w:rPr>
          <w:rFonts w:eastAsia="Times New Roman" w:cstheme="minorHAnsi"/>
          <w:b/>
          <w:sz w:val="24"/>
          <w:szCs w:val="24"/>
        </w:rPr>
      </w:pPr>
      <w:r>
        <w:rPr>
          <w:rFonts w:eastAsia="Times New Roman" w:cstheme="minorHAnsi"/>
          <w:b/>
          <w:sz w:val="24"/>
          <w:szCs w:val="24"/>
        </w:rPr>
        <w:t>Zero Tolerance</w:t>
      </w:r>
      <w:bookmarkEnd w:id="1"/>
    </w:p>
    <w:p>
      <w:pPr>
        <w:tabs>
          <w:tab w:val="left" w:pos="3363"/>
        </w:tabs>
        <w:spacing w:after="0" w:line="240" w:lineRule="auto"/>
        <w:ind w:left="144"/>
        <w:jc w:val="both"/>
        <w:outlineLvl w:val="0"/>
        <w:rPr>
          <w:rFonts w:cstheme="minorHAnsi"/>
          <w:sz w:val="24"/>
          <w:szCs w:val="24"/>
        </w:rPr>
      </w:pPr>
      <w:r>
        <w:rPr>
          <w:rFonts w:cstheme="minorHAnsi"/>
          <w:sz w:val="24"/>
          <w:szCs w:val="24"/>
        </w:rPr>
        <w:t>The Company has a zero tolerance policy for violence in the workplace; the employee is subject to immediate termination for cause.  No talk of violence or joking about violence will be tolerated.</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The Company defines violence to include: physically harming another, shoving, pushing, harassment, intimidation, coercion, brandishing weapons, and threats or talk of violence.</w:t>
      </w:r>
    </w:p>
    <w:p>
      <w:pPr>
        <w:keepNext/>
        <w:tabs>
          <w:tab w:val="left" w:pos="3363"/>
          <w:tab w:val="right" w:pos="9360"/>
        </w:tabs>
        <w:spacing w:after="0" w:line="240" w:lineRule="auto"/>
        <w:jc w:val="both"/>
        <w:outlineLvl w:val="2"/>
        <w:rPr>
          <w:rFonts w:cstheme="minorHAnsi"/>
          <w:sz w:val="24"/>
          <w:szCs w:val="24"/>
          <w:u w:val="single"/>
        </w:rPr>
      </w:pPr>
      <w:bookmarkStart w:id="2" w:name="_Toc226273269"/>
    </w:p>
    <w:p>
      <w:pPr>
        <w:keepNext/>
        <w:tabs>
          <w:tab w:val="left" w:pos="3363"/>
          <w:tab w:val="right" w:pos="9360"/>
        </w:tabs>
        <w:spacing w:after="0" w:line="240" w:lineRule="auto"/>
        <w:ind w:left="144"/>
        <w:jc w:val="both"/>
        <w:outlineLvl w:val="2"/>
        <w:rPr>
          <w:rFonts w:eastAsia="Times New Roman" w:cstheme="minorHAnsi"/>
          <w:b/>
          <w:sz w:val="24"/>
          <w:szCs w:val="24"/>
        </w:rPr>
      </w:pPr>
      <w:r>
        <w:rPr>
          <w:rFonts w:eastAsia="Times New Roman" w:cstheme="minorHAnsi"/>
          <w:b/>
          <w:sz w:val="24"/>
          <w:szCs w:val="24"/>
        </w:rPr>
        <w:t>Security Measures</w:t>
      </w:r>
      <w:bookmarkEnd w:id="2"/>
    </w:p>
    <w:p>
      <w:pPr>
        <w:tabs>
          <w:tab w:val="left" w:pos="3363"/>
        </w:tabs>
        <w:spacing w:after="0" w:line="240" w:lineRule="auto"/>
        <w:ind w:left="144"/>
        <w:jc w:val="both"/>
        <w:outlineLvl w:val="0"/>
        <w:rPr>
          <w:rFonts w:cstheme="minorHAnsi"/>
          <w:sz w:val="24"/>
          <w:szCs w:val="24"/>
        </w:rPr>
      </w:pPr>
      <w:r>
        <w:rPr>
          <w:rFonts w:cstheme="minorHAnsi"/>
          <w:sz w:val="24"/>
          <w:szCs w:val="24"/>
        </w:rPr>
        <w:t>In order to provide a safe workplace, the Company will limit access to all the Company property to those with a legitimate business interest.  All employee and visitor vehicles must register and display the Company’s identification while on the property and while in the field.</w:t>
      </w:r>
    </w:p>
    <w:p>
      <w:pPr>
        <w:keepNext/>
        <w:tabs>
          <w:tab w:val="left" w:pos="3363"/>
          <w:tab w:val="right" w:pos="9360"/>
        </w:tabs>
        <w:spacing w:after="0" w:line="240" w:lineRule="auto"/>
        <w:jc w:val="both"/>
        <w:outlineLvl w:val="2"/>
        <w:rPr>
          <w:rFonts w:cstheme="minorHAnsi"/>
          <w:sz w:val="24"/>
          <w:szCs w:val="24"/>
          <w:u w:val="single"/>
        </w:rPr>
      </w:pPr>
      <w:bookmarkStart w:id="3" w:name="_Toc226273270"/>
    </w:p>
    <w:p>
      <w:pPr>
        <w:keepNext/>
        <w:tabs>
          <w:tab w:val="left" w:pos="3363"/>
          <w:tab w:val="right" w:pos="9360"/>
        </w:tabs>
        <w:spacing w:after="0" w:line="240" w:lineRule="auto"/>
        <w:ind w:left="144"/>
        <w:jc w:val="both"/>
        <w:outlineLvl w:val="2"/>
        <w:rPr>
          <w:rFonts w:eastAsia="Times New Roman" w:cstheme="minorHAnsi"/>
          <w:b/>
          <w:sz w:val="24"/>
          <w:szCs w:val="24"/>
        </w:rPr>
      </w:pPr>
      <w:r>
        <w:rPr>
          <w:rFonts w:eastAsia="Times New Roman" w:cstheme="minorHAnsi"/>
          <w:b/>
          <w:sz w:val="24"/>
          <w:szCs w:val="24"/>
        </w:rPr>
        <w:t>All Weapons Banned</w:t>
      </w:r>
      <w:bookmarkEnd w:id="3"/>
    </w:p>
    <w:p>
      <w:pPr>
        <w:tabs>
          <w:tab w:val="left" w:pos="3363"/>
        </w:tabs>
        <w:spacing w:after="0" w:line="240" w:lineRule="auto"/>
        <w:ind w:left="144"/>
        <w:jc w:val="both"/>
        <w:outlineLvl w:val="0"/>
        <w:rPr>
          <w:rFonts w:cstheme="minorHAnsi"/>
          <w:sz w:val="24"/>
          <w:szCs w:val="24"/>
        </w:rPr>
      </w:pPr>
      <w:r>
        <w:rPr>
          <w:rFonts w:cstheme="minorHAnsi"/>
          <w:sz w:val="24"/>
          <w:szCs w:val="24"/>
        </w:rPr>
        <w:t>The Company will not tolerate employees being in the possession of any weapons, including weapons transported in employee vehicles, company vehicles, both inside the workplace and in the parking area.  In addition, when working outside the Company’s premises, employees are prohibited from carrying or transporting weapons.</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Carrying of concealed weapons, with or without a valid permit to carry a concealed weapon, is not permitted on the Company property or while performing work as a company employee.</w:t>
      </w:r>
    </w:p>
    <w:p>
      <w:pPr>
        <w:tabs>
          <w:tab w:val="left" w:pos="3363"/>
        </w:tabs>
        <w:spacing w:after="0" w:line="240" w:lineRule="auto"/>
        <w:ind w:left="144"/>
        <w:jc w:val="both"/>
        <w:outlineLvl w:val="0"/>
        <w:rPr>
          <w:rFonts w:cstheme="minorHAnsi"/>
          <w:sz w:val="24"/>
          <w:szCs w:val="24"/>
        </w:rPr>
      </w:pPr>
    </w:p>
    <w:p>
      <w:pPr>
        <w:tabs>
          <w:tab w:val="left" w:pos="3363"/>
        </w:tabs>
        <w:spacing w:after="0" w:line="240" w:lineRule="auto"/>
        <w:ind w:left="144"/>
        <w:jc w:val="both"/>
        <w:outlineLvl w:val="0"/>
        <w:rPr>
          <w:rFonts w:cstheme="minorHAnsi"/>
          <w:sz w:val="24"/>
          <w:szCs w:val="24"/>
        </w:rPr>
      </w:pPr>
      <w:r>
        <w:rPr>
          <w:rFonts w:cstheme="minorHAnsi"/>
          <w:sz w:val="24"/>
          <w:szCs w:val="24"/>
        </w:rPr>
        <w:t>Weapons include guns, knives, explosives and other potential weapons.  Appropriate disciplinary action, up to and including termination, will be taken against any employee who is in violation of this policy.</w:t>
      </w:r>
    </w:p>
    <w:p>
      <w:pPr>
        <w:widowControl w:val="0"/>
        <w:tabs>
          <w:tab w:val="left" w:pos="432"/>
          <w:tab w:val="left" w:pos="3363"/>
        </w:tabs>
        <w:spacing w:after="0" w:line="240" w:lineRule="auto"/>
        <w:ind w:left="144"/>
        <w:jc w:val="both"/>
        <w:outlineLvl w:val="0"/>
        <w:rPr>
          <w:rFonts w:cstheme="minorHAnsi"/>
          <w:sz w:val="24"/>
          <w:szCs w:val="24"/>
        </w:rPr>
      </w:pPr>
    </w:p>
    <w:p>
      <w:pPr>
        <w:autoSpaceDE w:val="0"/>
        <w:autoSpaceDN w:val="0"/>
        <w:adjustRightInd w:val="0"/>
        <w:spacing w:after="0" w:line="240" w:lineRule="auto"/>
        <w:ind w:left="144"/>
        <w:jc w:val="both"/>
        <w:outlineLvl w:val="0"/>
        <w:rPr>
          <w:rFonts w:cstheme="minorHAnsi"/>
          <w:b/>
          <w:bCs/>
          <w:color w:val="000000"/>
          <w:sz w:val="24"/>
          <w:szCs w:val="24"/>
        </w:rPr>
      </w:pPr>
      <w:r>
        <w:rPr>
          <w:rFonts w:cstheme="minorHAnsi"/>
          <w:b/>
          <w:bCs/>
          <w:color w:val="000000"/>
          <w:sz w:val="24"/>
          <w:szCs w:val="24"/>
        </w:rPr>
        <w:t>Related Policy</w:t>
      </w:r>
    </w:p>
    <w:p>
      <w:pPr>
        <w:pStyle w:val="ListParagraph"/>
        <w:numPr>
          <w:ilvl w:val="0"/>
          <w:numId w:val="1"/>
        </w:numPr>
        <w:autoSpaceDE w:val="0"/>
        <w:autoSpaceDN w:val="0"/>
        <w:adjustRightInd w:val="0"/>
        <w:spacing w:after="0" w:line="240" w:lineRule="auto"/>
        <w:jc w:val="both"/>
        <w:outlineLvl w:val="0"/>
        <w:rPr>
          <w:rFonts w:cstheme="minorHAnsi"/>
          <w:bCs/>
          <w:color w:val="000000"/>
          <w:sz w:val="24"/>
          <w:szCs w:val="24"/>
        </w:rPr>
      </w:pPr>
      <w:r>
        <w:rPr>
          <w:rFonts w:cstheme="minorHAnsi"/>
          <w:bCs/>
          <w:color w:val="000000"/>
          <w:sz w:val="24"/>
          <w:szCs w:val="24"/>
        </w:rPr>
        <w:t>Reportable Events Policy</w:t>
      </w:r>
    </w:p>
    <w:p>
      <w:pPr>
        <w:pStyle w:val="ListParagraph"/>
        <w:widowControl w:val="0"/>
        <w:numPr>
          <w:ilvl w:val="0"/>
          <w:numId w:val="1"/>
        </w:numPr>
        <w:tabs>
          <w:tab w:val="left" w:pos="432"/>
          <w:tab w:val="left" w:pos="3363"/>
        </w:tabs>
        <w:spacing w:after="0" w:line="240" w:lineRule="auto"/>
        <w:jc w:val="both"/>
        <w:outlineLvl w:val="0"/>
        <w:rPr>
          <w:rFonts w:cstheme="minorHAnsi"/>
          <w:sz w:val="24"/>
          <w:szCs w:val="24"/>
        </w:rPr>
      </w:pPr>
      <w:r>
        <w:rPr>
          <w:rFonts w:cstheme="minorHAnsi"/>
          <w:bCs/>
          <w:color w:val="000000"/>
          <w:sz w:val="24"/>
          <w:szCs w:val="24"/>
        </w:rPr>
        <w:lastRenderedPageBreak/>
        <w:t>Child and Elder Abuse Reporting Policy</w:t>
      </w:r>
    </w:p>
    <w:p>
      <w:pPr>
        <w:jc w:val="both"/>
      </w:pPr>
    </w:p>
    <w:sectPr>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56C53"/>
    <w:multiLevelType w:val="hybridMultilevel"/>
    <w:tmpl w:val="18921D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7</cp:revision>
  <dcterms:created xsi:type="dcterms:W3CDTF">2014-03-19T01:08:00Z</dcterms:created>
  <dcterms:modified xsi:type="dcterms:W3CDTF">2017-07-26T20:14:00Z</dcterms:modified>
</cp:coreProperties>
</file>