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autoSpaceDE w:val="0"/>
        <w:autoSpaceDN w:val="0"/>
        <w:adjustRightInd w:val="0"/>
        <w:spacing w:after="0" w:line="240" w:lineRule="auto"/>
        <w:ind w:left="144"/>
        <w:outlineLvl w:val="0"/>
        <w:rPr>
          <w:rFonts w:cstheme="minorHAnsi"/>
          <w:b/>
          <w:bCs/>
          <w:caps/>
          <w:color w:val="000000"/>
          <w:sz w:val="28"/>
          <w:szCs w:val="28"/>
        </w:rPr>
      </w:pPr>
      <w:bookmarkStart w:id="0" w:name="_GoBack"/>
      <w:bookmarkEnd w:id="0"/>
      <w:r>
        <w:rPr>
          <w:rFonts w:cstheme="minorHAnsi"/>
          <w:b/>
          <w:bCs/>
          <w:caps/>
          <w:color w:val="000000"/>
          <w:sz w:val="28"/>
          <w:szCs w:val="28"/>
        </w:rPr>
        <w:t>3.7   Vehicle Chassis, Body and Components Policy</w:t>
      </w:r>
    </w:p>
    <w:p>
      <w:pPr>
        <w:autoSpaceDE w:val="0"/>
        <w:autoSpaceDN w:val="0"/>
        <w:adjustRightInd w:val="0"/>
        <w:spacing w:after="0" w:line="240" w:lineRule="auto"/>
        <w:ind w:left="144"/>
        <w:outlineLvl w:val="0"/>
        <w:rPr>
          <w:rFonts w:cstheme="minorHAnsi"/>
          <w:b/>
          <w:color w:val="000000"/>
          <w:sz w:val="24"/>
          <w:szCs w:val="24"/>
        </w:rPr>
      </w:pPr>
    </w:p>
    <w:p>
      <w:pPr>
        <w:autoSpaceDE w:val="0"/>
        <w:autoSpaceDN w:val="0"/>
        <w:adjustRightInd w:val="0"/>
        <w:spacing w:after="0" w:line="240" w:lineRule="auto"/>
        <w:ind w:left="144"/>
        <w:jc w:val="both"/>
        <w:outlineLvl w:val="0"/>
        <w:rPr>
          <w:rFonts w:cstheme="minorHAnsi"/>
          <w:color w:val="000000"/>
          <w:sz w:val="24"/>
          <w:szCs w:val="24"/>
        </w:rPr>
      </w:pPr>
      <w:r>
        <w:rPr>
          <w:rFonts w:cstheme="minorHAnsi"/>
          <w:b/>
          <w:color w:val="000000"/>
          <w:sz w:val="24"/>
          <w:szCs w:val="24"/>
        </w:rPr>
        <w:t>Purpose:</w:t>
      </w:r>
      <w:r>
        <w:rPr>
          <w:rFonts w:cstheme="minorHAnsi"/>
          <w:color w:val="000000"/>
          <w:sz w:val="24"/>
          <w:szCs w:val="24"/>
        </w:rPr>
        <w:t xml:space="preserve"> This policy reflects standard for the motor vehicle chassis, body and components</w:t>
      </w:r>
    </w:p>
    <w:p>
      <w:pPr>
        <w:autoSpaceDE w:val="0"/>
        <w:autoSpaceDN w:val="0"/>
        <w:adjustRightInd w:val="0"/>
        <w:spacing w:after="0" w:line="240" w:lineRule="auto"/>
        <w:ind w:left="144"/>
        <w:jc w:val="both"/>
        <w:outlineLvl w:val="0"/>
        <w:rPr>
          <w:rFonts w:cstheme="minorHAnsi"/>
          <w:b/>
          <w:color w:val="000000"/>
          <w:sz w:val="24"/>
          <w:szCs w:val="24"/>
        </w:rPr>
      </w:pPr>
    </w:p>
    <w:p>
      <w:pPr>
        <w:autoSpaceDE w:val="0"/>
        <w:autoSpaceDN w:val="0"/>
        <w:adjustRightInd w:val="0"/>
        <w:spacing w:after="0" w:line="240" w:lineRule="auto"/>
        <w:ind w:left="144"/>
        <w:jc w:val="both"/>
        <w:outlineLvl w:val="0"/>
        <w:rPr>
          <w:rFonts w:cstheme="minorHAnsi"/>
          <w:color w:val="000000"/>
          <w:sz w:val="24"/>
          <w:szCs w:val="24"/>
        </w:rPr>
      </w:pPr>
      <w:r>
        <w:rPr>
          <w:rFonts w:cstheme="minorHAnsi"/>
          <w:b/>
          <w:color w:val="000000"/>
          <w:sz w:val="24"/>
          <w:szCs w:val="24"/>
        </w:rPr>
        <w:t>Policy:</w:t>
      </w:r>
      <w:r>
        <w:rPr>
          <w:rFonts w:cstheme="minorHAnsi"/>
          <w:color w:val="000000"/>
          <w:sz w:val="24"/>
          <w:szCs w:val="24"/>
        </w:rPr>
        <w:t xml:space="preserve"> It is the policy of the company that the motor vehicle chassis, body and components shall be standard commercial products and shall comply with all Federal Motor Vehicle Safety Standards (FMVSS) and Federal regulations applicable or specified for the year of manufacture. </w:t>
      </w:r>
    </w:p>
    <w:p>
      <w:pPr>
        <w:autoSpaceDE w:val="0"/>
        <w:autoSpaceDN w:val="0"/>
        <w:adjustRightInd w:val="0"/>
        <w:spacing w:after="0" w:line="240" w:lineRule="auto"/>
        <w:jc w:val="both"/>
        <w:outlineLvl w:val="0"/>
        <w:rPr>
          <w:rFonts w:cstheme="minorHAnsi"/>
          <w:color w:val="000000"/>
          <w:sz w:val="24"/>
          <w:szCs w:val="24"/>
        </w:rPr>
      </w:pPr>
    </w:p>
    <w:p>
      <w:pPr>
        <w:autoSpaceDE w:val="0"/>
        <w:autoSpaceDN w:val="0"/>
        <w:adjustRightInd w:val="0"/>
        <w:spacing w:after="0" w:line="240" w:lineRule="auto"/>
        <w:ind w:left="144"/>
        <w:jc w:val="both"/>
        <w:outlineLvl w:val="0"/>
        <w:rPr>
          <w:rFonts w:cstheme="minorHAnsi"/>
          <w:color w:val="000000"/>
          <w:sz w:val="24"/>
          <w:szCs w:val="24"/>
        </w:rPr>
      </w:pPr>
      <w:r>
        <w:rPr>
          <w:rFonts w:cstheme="minorHAnsi"/>
          <w:color w:val="000000"/>
          <w:sz w:val="24"/>
          <w:szCs w:val="24"/>
        </w:rPr>
        <w:t xml:space="preserve">The curb weight and payload weight shall not exceed the gross motor vehicle weight rating as determined by the manufacturer. </w:t>
      </w:r>
    </w:p>
    <w:p>
      <w:pPr>
        <w:autoSpaceDE w:val="0"/>
        <w:autoSpaceDN w:val="0"/>
        <w:adjustRightInd w:val="0"/>
        <w:spacing w:after="0" w:line="240" w:lineRule="auto"/>
        <w:ind w:left="144"/>
        <w:jc w:val="both"/>
        <w:outlineLvl w:val="0"/>
        <w:rPr>
          <w:rFonts w:cstheme="minorHAnsi"/>
          <w:color w:val="000000"/>
          <w:sz w:val="24"/>
          <w:szCs w:val="24"/>
        </w:rPr>
      </w:pPr>
      <w:r>
        <w:rPr>
          <w:rFonts w:cstheme="minorHAnsi"/>
          <w:color w:val="000000"/>
          <w:sz w:val="24"/>
          <w:szCs w:val="24"/>
        </w:rPr>
        <w:t xml:space="preserve">Tires shall be appropriate for the Gross Vehicle Weight of the vehicle and shall not be damaged or have excessive tread wear. Radial and non-radial tires shall not be mixed on the vehicle. </w:t>
      </w:r>
    </w:p>
    <w:p>
      <w:pPr>
        <w:autoSpaceDE w:val="0"/>
        <w:autoSpaceDN w:val="0"/>
        <w:adjustRightInd w:val="0"/>
        <w:spacing w:after="0" w:line="240" w:lineRule="auto"/>
        <w:ind w:left="144"/>
        <w:jc w:val="both"/>
        <w:outlineLvl w:val="0"/>
        <w:rPr>
          <w:rFonts w:cstheme="minorHAnsi"/>
          <w:color w:val="000000"/>
          <w:sz w:val="24"/>
          <w:szCs w:val="24"/>
        </w:rPr>
      </w:pPr>
      <w:r>
        <w:rPr>
          <w:rFonts w:cstheme="minorHAnsi"/>
          <w:color w:val="000000"/>
          <w:sz w:val="24"/>
          <w:szCs w:val="24"/>
        </w:rPr>
        <w:t xml:space="preserve">The completed/modified vehicle's center of gravity shall be within the parameter recommended by the chassis manufacturer. </w:t>
      </w:r>
    </w:p>
    <w:p>
      <w:pPr>
        <w:autoSpaceDE w:val="0"/>
        <w:autoSpaceDN w:val="0"/>
        <w:adjustRightInd w:val="0"/>
        <w:spacing w:after="0" w:line="240" w:lineRule="auto"/>
        <w:ind w:left="144"/>
        <w:jc w:val="both"/>
        <w:outlineLvl w:val="0"/>
        <w:rPr>
          <w:rFonts w:cstheme="minorHAnsi"/>
          <w:color w:val="000000"/>
          <w:sz w:val="24"/>
          <w:szCs w:val="24"/>
        </w:rPr>
      </w:pPr>
      <w:r>
        <w:rPr>
          <w:rFonts w:cstheme="minorHAnsi"/>
          <w:color w:val="000000"/>
          <w:sz w:val="24"/>
          <w:szCs w:val="24"/>
        </w:rPr>
        <w:t xml:space="preserve">(e) All seats shall comply with </w:t>
      </w:r>
      <w:r>
        <w:rPr>
          <w:rFonts w:cstheme="minorHAnsi"/>
          <w:color w:val="000000"/>
          <w:sz w:val="24"/>
          <w:szCs w:val="24"/>
          <w:u w:val="single"/>
        </w:rPr>
        <w:t xml:space="preserve">49 C.F.R. 571.207 </w:t>
      </w:r>
      <w:r>
        <w:rPr>
          <w:rFonts w:cstheme="minorHAnsi"/>
          <w:color w:val="000000"/>
          <w:sz w:val="24"/>
          <w:szCs w:val="24"/>
        </w:rPr>
        <w:t xml:space="preserve">(FMVSS No. 207). Automotive safety belts and anchorages for seats and for occupied wheelchairs shall comply with </w:t>
      </w:r>
      <w:r>
        <w:rPr>
          <w:rFonts w:cstheme="minorHAnsi"/>
          <w:color w:val="000000"/>
          <w:sz w:val="24"/>
          <w:szCs w:val="24"/>
          <w:u w:val="single"/>
        </w:rPr>
        <w:t>49 C.F.R. 571.208</w:t>
      </w:r>
      <w:r>
        <w:rPr>
          <w:rFonts w:cstheme="minorHAnsi"/>
          <w:color w:val="000000"/>
          <w:sz w:val="24"/>
          <w:szCs w:val="24"/>
        </w:rPr>
        <w:t xml:space="preserve">, </w:t>
      </w:r>
      <w:r>
        <w:rPr>
          <w:rFonts w:cstheme="minorHAnsi"/>
          <w:color w:val="000000"/>
          <w:sz w:val="24"/>
          <w:szCs w:val="24"/>
          <w:u w:val="single"/>
        </w:rPr>
        <w:t xml:space="preserve">209 </w:t>
      </w:r>
      <w:r>
        <w:rPr>
          <w:rFonts w:cstheme="minorHAnsi"/>
          <w:color w:val="000000"/>
          <w:sz w:val="24"/>
          <w:szCs w:val="24"/>
        </w:rPr>
        <w:t xml:space="preserve">and </w:t>
      </w:r>
      <w:r>
        <w:rPr>
          <w:rFonts w:cstheme="minorHAnsi"/>
          <w:color w:val="000000"/>
          <w:sz w:val="24"/>
          <w:szCs w:val="24"/>
          <w:u w:val="single"/>
        </w:rPr>
        <w:t xml:space="preserve">210 </w:t>
      </w:r>
      <w:r>
        <w:rPr>
          <w:rFonts w:cstheme="minorHAnsi"/>
          <w:color w:val="000000"/>
          <w:sz w:val="24"/>
          <w:szCs w:val="24"/>
        </w:rPr>
        <w:t xml:space="preserve">(FMVSS Nos. 208, 209 and 210). </w:t>
      </w:r>
    </w:p>
    <w:p>
      <w:pPr>
        <w:autoSpaceDE w:val="0"/>
        <w:autoSpaceDN w:val="0"/>
        <w:adjustRightInd w:val="0"/>
        <w:spacing w:after="0" w:line="240" w:lineRule="auto"/>
        <w:ind w:left="144"/>
        <w:jc w:val="both"/>
        <w:outlineLvl w:val="0"/>
        <w:rPr>
          <w:rFonts w:cstheme="minorHAnsi"/>
          <w:color w:val="000000"/>
          <w:sz w:val="24"/>
          <w:szCs w:val="24"/>
        </w:rPr>
      </w:pPr>
      <w:r>
        <w:rPr>
          <w:rFonts w:cstheme="minorHAnsi"/>
          <w:color w:val="000000"/>
          <w:sz w:val="24"/>
          <w:szCs w:val="24"/>
        </w:rPr>
        <w:t xml:space="preserve">All glazing shall comply with </w:t>
      </w:r>
      <w:r>
        <w:rPr>
          <w:rFonts w:cstheme="minorHAnsi"/>
          <w:color w:val="000000"/>
          <w:sz w:val="24"/>
          <w:szCs w:val="24"/>
          <w:u w:val="single"/>
        </w:rPr>
        <w:t xml:space="preserve">49 C.F.R. 571.205 </w:t>
      </w:r>
      <w:r>
        <w:rPr>
          <w:rFonts w:cstheme="minorHAnsi"/>
          <w:color w:val="000000"/>
          <w:sz w:val="24"/>
          <w:szCs w:val="24"/>
        </w:rPr>
        <w:t xml:space="preserve">(FMVSS No. 205). </w:t>
      </w:r>
    </w:p>
    <w:p>
      <w:pPr>
        <w:autoSpaceDE w:val="0"/>
        <w:autoSpaceDN w:val="0"/>
        <w:adjustRightInd w:val="0"/>
        <w:spacing w:after="0" w:line="240" w:lineRule="auto"/>
        <w:ind w:left="144"/>
        <w:jc w:val="both"/>
        <w:outlineLvl w:val="0"/>
        <w:rPr>
          <w:rFonts w:cstheme="minorHAnsi"/>
          <w:color w:val="000000"/>
          <w:sz w:val="24"/>
          <w:szCs w:val="24"/>
        </w:rPr>
      </w:pPr>
      <w:r>
        <w:rPr>
          <w:rFonts w:cstheme="minorHAnsi"/>
          <w:color w:val="000000"/>
          <w:sz w:val="24"/>
          <w:szCs w:val="24"/>
        </w:rPr>
        <w:t xml:space="preserve">The company shall, with the approval of the Department, permanently assign a unique non-duplicated recognition number to each vehicle. The recognition number shall consist of at least one, but not more than six, characters. A character shall mean </w:t>
      </w:r>
      <w:proofErr w:type="gramStart"/>
      <w:r>
        <w:rPr>
          <w:rFonts w:cstheme="minorHAnsi"/>
          <w:color w:val="000000"/>
          <w:sz w:val="24"/>
          <w:szCs w:val="24"/>
        </w:rPr>
        <w:t>either an</w:t>
      </w:r>
      <w:proofErr w:type="gramEnd"/>
      <w:r>
        <w:rPr>
          <w:rFonts w:cstheme="minorHAnsi"/>
          <w:color w:val="000000"/>
          <w:sz w:val="24"/>
          <w:szCs w:val="24"/>
        </w:rPr>
        <w:t xml:space="preserve"> Arabic number, an Arabic letter, a space or a dash. At least one of the characters in the recognition number shall be either an Arabic letter or Arabic number. </w:t>
      </w:r>
    </w:p>
    <w:sectPr>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47AFD"/>
    <w:multiLevelType w:val="singleLevel"/>
    <w:tmpl w:val="CA88553E"/>
    <w:lvl w:ilvl="0">
      <w:start w:val="1"/>
      <w:numFmt w:val="bullet"/>
      <w:lvlText w:val=""/>
      <w:lvlJc w:val="left"/>
      <w:pPr>
        <w:tabs>
          <w:tab w:val="num" w:pos="432"/>
        </w:tabs>
        <w:ind w:left="360" w:hanging="288"/>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1302D450</Template>
  <TotalTime>2</TotalTime>
  <Pages>1</Pages>
  <Words>234</Words>
  <Characters>1339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1570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PMCS</dc:creator>
  <cp:lastModifiedBy>Devin Asante</cp:lastModifiedBy>
  <cp:revision>8</cp:revision>
  <dcterms:created xsi:type="dcterms:W3CDTF">2014-03-19T00:36:00Z</dcterms:created>
  <dcterms:modified xsi:type="dcterms:W3CDTF">2017-07-26T20:14:00Z</dcterms:modified>
</cp:coreProperties>
</file>