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jc w:val="both"/>
        <w:outlineLvl w:val="0"/>
        <w:rPr>
          <w:rFonts w:cstheme="minorHAnsi"/>
          <w:b/>
          <w:bCs/>
          <w:caps/>
          <w:color w:val="000000"/>
          <w:sz w:val="28"/>
          <w:szCs w:val="24"/>
        </w:rPr>
      </w:pPr>
      <w:r>
        <w:rPr>
          <w:rFonts w:cstheme="minorHAnsi"/>
          <w:b/>
          <w:bCs/>
          <w:caps/>
          <w:color w:val="000000"/>
          <w:sz w:val="28"/>
          <w:szCs w:val="24"/>
        </w:rPr>
        <w:t>3.1   Biomedical Equipment Testing and Maintenance Policy</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Cs/>
          <w:color w:val="000000"/>
          <w:sz w:val="24"/>
          <w:szCs w:val="24"/>
        </w:rPr>
      </w:pPr>
      <w:r>
        <w:rPr>
          <w:rFonts w:cstheme="minorHAnsi"/>
          <w:b/>
          <w:bCs/>
          <w:color w:val="000000"/>
          <w:sz w:val="24"/>
          <w:szCs w:val="24"/>
        </w:rPr>
        <w:t>Purpose:</w:t>
      </w:r>
      <w:r>
        <w:rPr>
          <w:rFonts w:cstheme="minorHAnsi"/>
          <w:bCs/>
          <w:color w:val="000000"/>
          <w:sz w:val="24"/>
          <w:szCs w:val="24"/>
        </w:rPr>
        <w:t xml:space="preserve"> To provide guidelines for Biomedical equipment testing and maintenance policy.</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Cs/>
          <w:color w:val="000000"/>
          <w:sz w:val="24"/>
          <w:szCs w:val="24"/>
        </w:rPr>
      </w:pPr>
      <w:r>
        <w:rPr>
          <w:rFonts w:cstheme="minorHAnsi"/>
          <w:b/>
          <w:bCs/>
          <w:color w:val="000000"/>
          <w:sz w:val="24"/>
          <w:szCs w:val="24"/>
        </w:rPr>
        <w:t xml:space="preserve">Policy: </w:t>
      </w:r>
      <w:r>
        <w:rPr>
          <w:rFonts w:cstheme="minorHAnsi"/>
          <w:bCs/>
          <w:color w:val="000000"/>
          <w:sz w:val="24"/>
          <w:szCs w:val="24"/>
        </w:rPr>
        <w:t xml:space="preserve">The </w:t>
      </w:r>
      <w:proofErr w:type="gramStart"/>
      <w:r>
        <w:rPr>
          <w:rFonts w:cstheme="minorHAnsi"/>
          <w:bCs/>
          <w:color w:val="000000"/>
          <w:sz w:val="24"/>
          <w:szCs w:val="24"/>
        </w:rPr>
        <w:t>company</w:t>
      </w:r>
      <w:proofErr w:type="gramEnd"/>
      <w:r>
        <w:rPr>
          <w:rFonts w:cstheme="minorHAnsi"/>
          <w:bCs/>
          <w:color w:val="000000"/>
          <w:sz w:val="24"/>
          <w:szCs w:val="24"/>
        </w:rPr>
        <w:t xml:space="preserve"> will ensure all biomedical equipment are tested and maintained in compliance with the manufacturer’s recommendations and federal standards whichever is more frequent. The administrator will maintain a list of all biomedical equipment, testing and maintenance schedule and periodically ensure the testing and maintenance are completed in compliance with manufacturer’s recommendation or federal standards, whichever is more frequent.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 administrator will ensure all biomedical equipment and devices  comply with all applicable provisions set forth by the Federal Food and Drug Administration for safe care, utilization and maintenance of medical devices.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Biomedical equipment includes, but is not limited to: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1. Cardiac resuscitators (that is, Thumpers [FN®]);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2. Automated external defibrillator (AED);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3. Pulse oximeters; and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4. Automatic ventilators.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 administrator will ensure the required testing and maintenance shall be conducted by: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1. Qualified employees of the firm that manufactured the equipment;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2. Qualified employees of a firm approved or authorized by the manufacturer;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3. Biomedical engineering staff of a general hospital;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4. A recognized independent laboratory; or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5. Crewmembers or other employees of the company who have been qualified by the equipment manufacturer to perform such testing and maintenance.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 requirements above shall not apply to biomedical equipment that is: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1. </w:t>
      </w:r>
      <w:proofErr w:type="gramStart"/>
      <w:r>
        <w:rPr>
          <w:rFonts w:cstheme="minorHAnsi"/>
          <w:color w:val="000000"/>
          <w:sz w:val="24"/>
          <w:szCs w:val="24"/>
        </w:rPr>
        <w:t>In</w:t>
      </w:r>
      <w:proofErr w:type="gramEnd"/>
      <w:r>
        <w:rPr>
          <w:rFonts w:cstheme="minorHAnsi"/>
          <w:color w:val="000000"/>
          <w:sz w:val="24"/>
          <w:szCs w:val="24"/>
        </w:rPr>
        <w:t xml:space="preserve"> the physical possession of a general hospital or other licensed health care facility;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2. Is placed in the company's vehicle for treatment, during transportation, of that hospital's or facility's patient; and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3. Is operated by that hospital or facility's personnel.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The results of the biomedical equipment tests shall be kept on file by the administrator at the company's principal place of business and shall be made available to Department staff upon demand.</w:t>
      </w:r>
    </w:p>
    <w:sectPr>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158158"/>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3</TotalTime>
  <Pages>1</Pages>
  <Words>307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8</cp:revision>
  <dcterms:created xsi:type="dcterms:W3CDTF">2014-03-18T01:41:00Z</dcterms:created>
  <dcterms:modified xsi:type="dcterms:W3CDTF">2017-07-26T20:13:00Z</dcterms:modified>
</cp:coreProperties>
</file>